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B1A94" w14:textId="77777777" w:rsidR="0067414A" w:rsidRPr="00566659" w:rsidRDefault="0067414A" w:rsidP="00F55A13">
      <w:pPr>
        <w:pStyle w:val="Default"/>
        <w:spacing w:line="360" w:lineRule="auto"/>
        <w:ind w:left="284"/>
        <w:jc w:val="both"/>
        <w:rPr>
          <w:rFonts w:ascii="Montserrat" w:hAnsi="Montserrat"/>
          <w:b/>
          <w:bCs/>
        </w:rPr>
      </w:pPr>
    </w:p>
    <w:p w14:paraId="4419F42E" w14:textId="77777777" w:rsidR="00566659" w:rsidRPr="003A4792" w:rsidRDefault="00566659" w:rsidP="00F55A13">
      <w:pPr>
        <w:spacing w:after="0" w:line="360" w:lineRule="auto"/>
        <w:ind w:left="11" w:hanging="11"/>
        <w:jc w:val="center"/>
        <w:rPr>
          <w:rFonts w:ascii="Arial Nova" w:hAnsi="Arial Nova"/>
          <w:b/>
          <w:bCs/>
          <w:caps/>
          <w:szCs w:val="24"/>
        </w:rPr>
      </w:pPr>
      <w:r w:rsidRPr="003A4792">
        <w:rPr>
          <w:rFonts w:ascii="Arial Nova" w:hAnsi="Arial Nova"/>
          <w:b/>
          <w:bCs/>
          <w:caps/>
          <w:szCs w:val="24"/>
        </w:rPr>
        <w:t>Sequência do Processo Eleitoral</w:t>
      </w:r>
    </w:p>
    <w:p w14:paraId="0FEF8499" w14:textId="59ADFAF4" w:rsidR="003A4792" w:rsidRPr="003A4792" w:rsidRDefault="003A4792" w:rsidP="00F55A13">
      <w:pPr>
        <w:spacing w:after="0" w:line="360" w:lineRule="auto"/>
        <w:ind w:left="11" w:hanging="11"/>
        <w:jc w:val="center"/>
        <w:rPr>
          <w:rFonts w:ascii="Arial Nova" w:hAnsi="Arial Nova"/>
          <w:b/>
          <w:bCs/>
          <w:szCs w:val="24"/>
        </w:rPr>
      </w:pPr>
      <w:r w:rsidRPr="003A4792">
        <w:rPr>
          <w:rFonts w:ascii="Arial Nova" w:hAnsi="Arial Nova"/>
          <w:b/>
          <w:bCs/>
          <w:szCs w:val="24"/>
        </w:rPr>
        <w:t>7 Passos</w:t>
      </w:r>
    </w:p>
    <w:p w14:paraId="32B95B5C" w14:textId="77777777" w:rsidR="00566659" w:rsidRPr="00566659" w:rsidRDefault="00566659" w:rsidP="00F55A13">
      <w:pPr>
        <w:spacing w:after="0" w:line="360" w:lineRule="auto"/>
        <w:ind w:left="11" w:hanging="11"/>
        <w:rPr>
          <w:rFonts w:ascii="Arial Nova" w:hAnsi="Arial Nova"/>
          <w:szCs w:val="24"/>
        </w:rPr>
      </w:pPr>
    </w:p>
    <w:p w14:paraId="0BF29950" w14:textId="77777777"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t>1º PASSO:</w:t>
      </w:r>
      <w:r w:rsidRPr="00566659">
        <w:rPr>
          <w:rFonts w:ascii="Arial Nova" w:hAnsi="Arial Nova"/>
          <w:szCs w:val="24"/>
        </w:rPr>
        <w:t xml:space="preserve"> </w:t>
      </w:r>
      <w:r w:rsidRPr="00566659">
        <w:rPr>
          <w:rFonts w:ascii="Arial Nova" w:hAnsi="Arial Nova"/>
          <w:b/>
          <w:bCs/>
          <w:szCs w:val="24"/>
        </w:rPr>
        <w:t>Abertura do Processo com a expedição de uma Circular destinada a todas as Unidades Vicentinas da área da Unidade que está abrindo o Processo, no máximo, até 210 dias antes do término do mandato em vigor (Artigo 52, inciso I da Regra da SSVP – Ed. 2023).</w:t>
      </w:r>
    </w:p>
    <w:p w14:paraId="74F05113" w14:textId="77777777" w:rsidR="00566659" w:rsidRPr="00566659" w:rsidRDefault="00566659" w:rsidP="00F55A13">
      <w:pPr>
        <w:spacing w:after="0" w:line="360" w:lineRule="auto"/>
        <w:rPr>
          <w:rFonts w:ascii="Arial Nova" w:hAnsi="Arial Nova"/>
          <w:szCs w:val="24"/>
          <w:u w:val="single"/>
        </w:rPr>
      </w:pPr>
      <w:r w:rsidRPr="00566659">
        <w:rPr>
          <w:rFonts w:ascii="Arial Nova" w:hAnsi="Arial Nova"/>
          <w:szCs w:val="24"/>
          <w:u w:val="single"/>
        </w:rPr>
        <w:t>Orientações e recomendações:</w:t>
      </w:r>
    </w:p>
    <w:p w14:paraId="42633CE3" w14:textId="77777777" w:rsidR="00566659" w:rsidRPr="00566659" w:rsidRDefault="00566659" w:rsidP="00F55A13">
      <w:pPr>
        <w:pStyle w:val="PargrafodaLista"/>
        <w:numPr>
          <w:ilvl w:val="0"/>
          <w:numId w:val="11"/>
        </w:numPr>
        <w:spacing w:after="0" w:line="360" w:lineRule="auto"/>
        <w:jc w:val="both"/>
        <w:rPr>
          <w:rFonts w:ascii="Arial Nova" w:hAnsi="Arial Nova"/>
          <w:sz w:val="24"/>
          <w:szCs w:val="24"/>
          <w:u w:val="single"/>
        </w:rPr>
      </w:pPr>
      <w:r w:rsidRPr="00566659">
        <w:rPr>
          <w:rFonts w:ascii="Arial Nova" w:hAnsi="Arial Nova"/>
          <w:sz w:val="24"/>
          <w:szCs w:val="24"/>
        </w:rPr>
        <w:t>Deve acompanhar a Circular os modelos de Currículo e de Declaração de participação dos candidatos nas atividades da Conferência;</w:t>
      </w:r>
    </w:p>
    <w:p w14:paraId="7423BB62" w14:textId="77777777" w:rsidR="00566659" w:rsidRPr="00566659" w:rsidRDefault="00566659" w:rsidP="00F55A13">
      <w:pPr>
        <w:pStyle w:val="PargrafodaLista"/>
        <w:numPr>
          <w:ilvl w:val="0"/>
          <w:numId w:val="11"/>
        </w:numPr>
        <w:spacing w:after="0" w:line="360" w:lineRule="auto"/>
        <w:jc w:val="both"/>
        <w:rPr>
          <w:rFonts w:ascii="Arial Nova" w:hAnsi="Arial Nova"/>
          <w:sz w:val="24"/>
          <w:szCs w:val="24"/>
          <w:u w:val="single"/>
        </w:rPr>
      </w:pPr>
      <w:r w:rsidRPr="00566659">
        <w:rPr>
          <w:rFonts w:ascii="Arial Nova" w:hAnsi="Arial Nova"/>
          <w:sz w:val="24"/>
          <w:szCs w:val="24"/>
        </w:rPr>
        <w:t>Ampla divulgação da Circular para que todos os vicentinos da área envolvida tenham conhecimento e possam participar do Processo;</w:t>
      </w:r>
    </w:p>
    <w:p w14:paraId="19D8A686" w14:textId="77777777" w:rsidR="00566659" w:rsidRPr="00566659" w:rsidRDefault="00566659" w:rsidP="00F55A13">
      <w:pPr>
        <w:pStyle w:val="PargrafodaLista"/>
        <w:numPr>
          <w:ilvl w:val="0"/>
          <w:numId w:val="11"/>
        </w:numPr>
        <w:spacing w:after="0" w:line="360" w:lineRule="auto"/>
        <w:jc w:val="both"/>
        <w:rPr>
          <w:rFonts w:ascii="Arial Nova" w:hAnsi="Arial Nova"/>
          <w:sz w:val="24"/>
          <w:szCs w:val="24"/>
        </w:rPr>
      </w:pPr>
      <w:r w:rsidRPr="00566659">
        <w:rPr>
          <w:rFonts w:ascii="Arial Nova" w:hAnsi="Arial Nova"/>
          <w:sz w:val="24"/>
          <w:szCs w:val="24"/>
        </w:rPr>
        <w:t>Considerando que, caso o processo seja aberto no limite do prazo (210 dias antes do término do mandato), só haverá 30 dias para coleta de currículos, declarações, atas etc., a abertura poderá ser antecipada para que se tenha mais tempo hábil para as candidaturas e envio do documento até os 180 dias que antecedem o fim do mandato da gestão que abriu o Processo;</w:t>
      </w:r>
    </w:p>
    <w:p w14:paraId="27792957" w14:textId="77777777" w:rsidR="00566659" w:rsidRDefault="00566659" w:rsidP="00F55A13">
      <w:pPr>
        <w:pStyle w:val="PargrafodaLista"/>
        <w:numPr>
          <w:ilvl w:val="0"/>
          <w:numId w:val="11"/>
        </w:numPr>
        <w:spacing w:after="0" w:line="360" w:lineRule="auto"/>
        <w:jc w:val="both"/>
        <w:rPr>
          <w:rFonts w:ascii="Arial Nova" w:hAnsi="Arial Nova"/>
          <w:sz w:val="24"/>
          <w:szCs w:val="24"/>
        </w:rPr>
      </w:pPr>
      <w:r w:rsidRPr="00566659">
        <w:rPr>
          <w:rFonts w:ascii="Arial Nova" w:hAnsi="Arial Nova"/>
          <w:sz w:val="24"/>
          <w:szCs w:val="24"/>
        </w:rPr>
        <w:t>Nas eleições de Conferências é dispensável a Circular, tendo em vista que os interessados no Processo participam da mesma Unidade, bastando apenas ser anunciado na reunião, contar em ata e comunicar oficialmente ao Conselho Particular.</w:t>
      </w:r>
    </w:p>
    <w:p w14:paraId="039E13D3" w14:textId="77777777" w:rsidR="00F55A13" w:rsidRPr="00566659" w:rsidRDefault="00F55A13" w:rsidP="00F55A13">
      <w:pPr>
        <w:pStyle w:val="PargrafodaLista"/>
        <w:spacing w:after="0" w:line="360" w:lineRule="auto"/>
        <w:jc w:val="both"/>
        <w:rPr>
          <w:rFonts w:ascii="Arial Nova" w:hAnsi="Arial Nova"/>
          <w:sz w:val="24"/>
          <w:szCs w:val="24"/>
        </w:rPr>
      </w:pPr>
    </w:p>
    <w:p w14:paraId="6E33AD18" w14:textId="77777777"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t xml:space="preserve">2º PASSO: Envio dos currículos e da documentação comprobatório da atividade ininterrupta (declarações, cópias de atas, entre outros) ao Conselho hierarquicamente </w:t>
      </w:r>
      <w:r w:rsidRPr="00566659">
        <w:rPr>
          <w:rFonts w:ascii="Arial Nova" w:hAnsi="Arial Nova"/>
          <w:b/>
          <w:bCs/>
          <w:szCs w:val="24"/>
        </w:rPr>
        <w:lastRenderedPageBreak/>
        <w:t>superior para análise, 180 dias antes do término do mandato (Artigo 52, inciso II da Regra da SSVP – Ed. 2023).</w:t>
      </w:r>
    </w:p>
    <w:p w14:paraId="4F845E4A" w14:textId="77777777" w:rsidR="00566659" w:rsidRPr="00566659" w:rsidRDefault="00566659" w:rsidP="00F55A13">
      <w:pPr>
        <w:spacing w:after="0" w:line="360" w:lineRule="auto"/>
        <w:rPr>
          <w:rFonts w:ascii="Arial Nova" w:hAnsi="Arial Nova"/>
          <w:szCs w:val="24"/>
          <w:u w:val="single"/>
        </w:rPr>
      </w:pPr>
      <w:r w:rsidRPr="00566659">
        <w:rPr>
          <w:rFonts w:ascii="Arial Nova" w:hAnsi="Arial Nova"/>
          <w:szCs w:val="24"/>
          <w:u w:val="single"/>
        </w:rPr>
        <w:t>Orientações e recomendações:</w:t>
      </w:r>
    </w:p>
    <w:p w14:paraId="24221E5E" w14:textId="77777777" w:rsidR="00566659" w:rsidRPr="00566659" w:rsidRDefault="00566659" w:rsidP="00F55A13">
      <w:pPr>
        <w:pStyle w:val="PargrafodaLista"/>
        <w:numPr>
          <w:ilvl w:val="0"/>
          <w:numId w:val="12"/>
        </w:numPr>
        <w:spacing w:after="0" w:line="360" w:lineRule="auto"/>
        <w:jc w:val="both"/>
        <w:rPr>
          <w:rFonts w:ascii="Arial Nova" w:hAnsi="Arial Nova"/>
          <w:sz w:val="24"/>
          <w:szCs w:val="24"/>
        </w:rPr>
      </w:pPr>
      <w:r w:rsidRPr="00566659">
        <w:rPr>
          <w:rFonts w:ascii="Arial Nova" w:hAnsi="Arial Nova"/>
          <w:sz w:val="24"/>
          <w:szCs w:val="24"/>
        </w:rPr>
        <w:t>Ao enviar os currículos e documentação comprobatória da atividade vicentina dos candidatos, encaminhar também cópia da circular de abertura do processo Eleitoral e cópia ata da primeira reunião ordinária da Unidade realizada após a abertura do Processo, constando a relação nominal dos membros de sua diretoria com direito a voto (Artigo 52, § 2º da Regra da SSVP – Ed. 2023);</w:t>
      </w:r>
    </w:p>
    <w:p w14:paraId="4BF3BBB0" w14:textId="77777777" w:rsidR="00566659" w:rsidRPr="00566659" w:rsidRDefault="00566659" w:rsidP="00F55A13">
      <w:pPr>
        <w:pStyle w:val="PargrafodaLista"/>
        <w:numPr>
          <w:ilvl w:val="0"/>
          <w:numId w:val="12"/>
        </w:numPr>
        <w:spacing w:after="0" w:line="360" w:lineRule="auto"/>
        <w:jc w:val="both"/>
        <w:rPr>
          <w:rFonts w:ascii="Arial Nova" w:hAnsi="Arial Nova"/>
          <w:sz w:val="24"/>
          <w:szCs w:val="24"/>
        </w:rPr>
      </w:pPr>
      <w:r w:rsidRPr="00566659">
        <w:rPr>
          <w:rFonts w:ascii="Arial Nova" w:hAnsi="Arial Nova"/>
          <w:sz w:val="24"/>
          <w:szCs w:val="24"/>
        </w:rPr>
        <w:t xml:space="preserve">As </w:t>
      </w:r>
      <w:r w:rsidRPr="00566659">
        <w:rPr>
          <w:rFonts w:ascii="Arial Nova" w:hAnsi="Arial Nova"/>
          <w:b/>
          <w:bCs/>
          <w:sz w:val="24"/>
          <w:szCs w:val="24"/>
        </w:rPr>
        <w:t>candidaturas para Obras Unidas</w:t>
      </w:r>
      <w:r w:rsidRPr="00566659">
        <w:rPr>
          <w:rFonts w:ascii="Arial Nova" w:hAnsi="Arial Nova"/>
          <w:sz w:val="24"/>
          <w:szCs w:val="24"/>
        </w:rPr>
        <w:t xml:space="preserve"> só serão homologadas pela Assembleia do Conselho Central após parecer do Denor do Conselho Metropolitano (artigo 45 § 1º da Regra da SSVP – Ed. 2023);</w:t>
      </w:r>
    </w:p>
    <w:p w14:paraId="607429F9" w14:textId="77777777" w:rsidR="00566659" w:rsidRPr="00566659" w:rsidRDefault="00566659" w:rsidP="00F55A13">
      <w:pPr>
        <w:pStyle w:val="PargrafodaLista"/>
        <w:numPr>
          <w:ilvl w:val="0"/>
          <w:numId w:val="12"/>
        </w:numPr>
        <w:spacing w:after="0" w:line="360" w:lineRule="auto"/>
        <w:jc w:val="both"/>
        <w:rPr>
          <w:rFonts w:ascii="Arial Nova" w:hAnsi="Arial Nova"/>
          <w:sz w:val="24"/>
          <w:szCs w:val="24"/>
        </w:rPr>
      </w:pPr>
      <w:r w:rsidRPr="00566659">
        <w:rPr>
          <w:rFonts w:ascii="Arial Nova" w:hAnsi="Arial Nova"/>
          <w:sz w:val="24"/>
          <w:szCs w:val="24"/>
        </w:rPr>
        <w:t>A Unidade, ao encaminhar a documentação, faça da forma mais organizada possível, de forma que se tenha uma economia de recursos financeiros e de tempo;</w:t>
      </w:r>
    </w:p>
    <w:p w14:paraId="637B29E5" w14:textId="77777777" w:rsidR="00566659" w:rsidRPr="00566659" w:rsidRDefault="00566659" w:rsidP="00F55A13">
      <w:pPr>
        <w:pStyle w:val="PargrafodaLista"/>
        <w:numPr>
          <w:ilvl w:val="0"/>
          <w:numId w:val="12"/>
        </w:numPr>
        <w:spacing w:after="0" w:line="360" w:lineRule="auto"/>
        <w:jc w:val="both"/>
        <w:rPr>
          <w:rFonts w:ascii="Arial Nova" w:hAnsi="Arial Nova"/>
          <w:sz w:val="24"/>
          <w:szCs w:val="24"/>
        </w:rPr>
      </w:pPr>
      <w:r w:rsidRPr="00566659">
        <w:rPr>
          <w:rFonts w:ascii="Arial Nova" w:hAnsi="Arial Nova"/>
          <w:sz w:val="24"/>
          <w:szCs w:val="24"/>
        </w:rPr>
        <w:t>O Conselho que está realizando a análise dos documentos, poderá solicitar informações complementares, principalmente ao Artigo 51 da Regra da SSVP – Edição 2023.</w:t>
      </w:r>
    </w:p>
    <w:p w14:paraId="07031A60" w14:textId="77777777" w:rsidR="00566659" w:rsidRPr="00566659" w:rsidRDefault="00566659" w:rsidP="00F55A13">
      <w:pPr>
        <w:spacing w:after="0" w:line="360" w:lineRule="auto"/>
        <w:rPr>
          <w:rFonts w:ascii="Arial Nova" w:hAnsi="Arial Nova"/>
          <w:b/>
          <w:bCs/>
          <w:szCs w:val="24"/>
        </w:rPr>
      </w:pPr>
    </w:p>
    <w:p w14:paraId="1D1782BC" w14:textId="77777777"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t>3º PASSO: Expedição do Edital de Convocação da Assembleia para as Eleições, com 120 dias antes do término do mandato, o que coincide com 30 dias antes da eleição (Artigo 52, inciso III da Regra da SSVP – Ed. 2023).</w:t>
      </w:r>
    </w:p>
    <w:p w14:paraId="29FF2011" w14:textId="77777777" w:rsidR="00566659" w:rsidRPr="00566659" w:rsidRDefault="00566659" w:rsidP="00F55A13">
      <w:pPr>
        <w:spacing w:after="0" w:line="360" w:lineRule="auto"/>
        <w:rPr>
          <w:rFonts w:ascii="Arial Nova" w:hAnsi="Arial Nova"/>
          <w:szCs w:val="24"/>
          <w:u w:val="single"/>
        </w:rPr>
      </w:pPr>
      <w:r w:rsidRPr="00566659">
        <w:rPr>
          <w:rFonts w:ascii="Arial Nova" w:hAnsi="Arial Nova"/>
          <w:szCs w:val="24"/>
          <w:u w:val="single"/>
        </w:rPr>
        <w:t>Orientações e recomendações:</w:t>
      </w:r>
    </w:p>
    <w:p w14:paraId="3B7E07BD" w14:textId="77777777" w:rsidR="00566659" w:rsidRPr="00566659" w:rsidRDefault="00566659" w:rsidP="00F55A13">
      <w:pPr>
        <w:pStyle w:val="PargrafodaLista"/>
        <w:numPr>
          <w:ilvl w:val="0"/>
          <w:numId w:val="12"/>
        </w:numPr>
        <w:spacing w:after="0" w:line="360" w:lineRule="auto"/>
        <w:jc w:val="both"/>
        <w:rPr>
          <w:rFonts w:ascii="Arial Nova" w:hAnsi="Arial Nova"/>
          <w:sz w:val="24"/>
          <w:szCs w:val="24"/>
        </w:rPr>
      </w:pPr>
      <w:r w:rsidRPr="00566659">
        <w:rPr>
          <w:rFonts w:ascii="Arial Nova" w:hAnsi="Arial Nova"/>
          <w:sz w:val="24"/>
          <w:szCs w:val="24"/>
        </w:rPr>
        <w:t>O edital é obrigatório para Unidades com Personalidade Jurídica, para as demais é dispensado e nestas, as eleições podem ocorrer nas Reuniões Ordinárias.</w:t>
      </w:r>
    </w:p>
    <w:p w14:paraId="6CFBB626" w14:textId="77777777" w:rsidR="00566659" w:rsidRPr="00566659" w:rsidRDefault="00566659" w:rsidP="00F55A13">
      <w:pPr>
        <w:spacing w:after="0" w:line="360" w:lineRule="auto"/>
        <w:rPr>
          <w:rFonts w:ascii="Arial Nova" w:hAnsi="Arial Nova"/>
          <w:b/>
          <w:bCs/>
          <w:szCs w:val="24"/>
        </w:rPr>
      </w:pPr>
    </w:p>
    <w:p w14:paraId="0F87BD81" w14:textId="77777777"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lastRenderedPageBreak/>
        <w:t>4º PASSO: Realização das eleições, no máximo, com 90 dias ates do término do mandato (Artigo 52, inciso IV da Regra da SSVP – Ed. 2023).</w:t>
      </w:r>
    </w:p>
    <w:p w14:paraId="657DAE57" w14:textId="77777777" w:rsidR="00566659" w:rsidRPr="00566659" w:rsidRDefault="00566659" w:rsidP="00F55A13">
      <w:pPr>
        <w:spacing w:after="0" w:line="360" w:lineRule="auto"/>
        <w:rPr>
          <w:rFonts w:ascii="Arial Nova" w:hAnsi="Arial Nova"/>
          <w:szCs w:val="24"/>
          <w:u w:val="single"/>
        </w:rPr>
      </w:pPr>
      <w:r w:rsidRPr="00566659">
        <w:rPr>
          <w:rFonts w:ascii="Arial Nova" w:hAnsi="Arial Nova"/>
          <w:szCs w:val="24"/>
          <w:u w:val="single"/>
        </w:rPr>
        <w:t>Orientações e recomendações</w:t>
      </w:r>
      <w:r w:rsidRPr="00566659">
        <w:rPr>
          <w:rFonts w:ascii="Arial Nova" w:hAnsi="Arial Nova"/>
          <w:szCs w:val="24"/>
        </w:rPr>
        <w:t xml:space="preserve">: Observar o descrito no artigo 44 da Regra da SSVP – Ed. 2023, principalmente os incisos IV, V, VI, VII, VIII e IX. </w:t>
      </w:r>
    </w:p>
    <w:p w14:paraId="21962D74" w14:textId="77777777" w:rsidR="00566659" w:rsidRPr="00566659" w:rsidRDefault="00566659" w:rsidP="00F55A13">
      <w:pPr>
        <w:spacing w:after="0" w:line="360" w:lineRule="auto"/>
        <w:rPr>
          <w:rFonts w:ascii="Arial Nova" w:hAnsi="Arial Nova"/>
          <w:b/>
          <w:bCs/>
          <w:szCs w:val="24"/>
        </w:rPr>
      </w:pPr>
    </w:p>
    <w:p w14:paraId="195A798F" w14:textId="77777777"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t>5º PASSO: Envio da ata de eleição para o Conselho a qual está vinculada Unidade em Processo Eleitoral (Artigo 44, inciso IX da Regra da SSVP – Ed. 2023).</w:t>
      </w:r>
    </w:p>
    <w:p w14:paraId="3EF62230" w14:textId="77777777" w:rsidR="00566659" w:rsidRPr="00566659" w:rsidRDefault="00566659" w:rsidP="00F55A13">
      <w:pPr>
        <w:spacing w:after="0" w:line="360" w:lineRule="auto"/>
        <w:rPr>
          <w:rFonts w:ascii="Arial Nova" w:hAnsi="Arial Nova"/>
          <w:szCs w:val="24"/>
          <w:u w:val="single"/>
        </w:rPr>
      </w:pPr>
      <w:r w:rsidRPr="00566659">
        <w:rPr>
          <w:rFonts w:ascii="Arial Nova" w:hAnsi="Arial Nova"/>
          <w:szCs w:val="24"/>
          <w:u w:val="single"/>
        </w:rPr>
        <w:t>Orientações e recomendações:</w:t>
      </w:r>
    </w:p>
    <w:p w14:paraId="038A70F8" w14:textId="77777777" w:rsidR="00566659" w:rsidRPr="00566659" w:rsidRDefault="00566659" w:rsidP="00F55A13">
      <w:pPr>
        <w:pStyle w:val="PargrafodaLista"/>
        <w:numPr>
          <w:ilvl w:val="0"/>
          <w:numId w:val="12"/>
        </w:numPr>
        <w:spacing w:after="0" w:line="360" w:lineRule="auto"/>
        <w:jc w:val="both"/>
        <w:rPr>
          <w:rFonts w:ascii="Arial Nova" w:hAnsi="Arial Nova"/>
          <w:sz w:val="24"/>
          <w:szCs w:val="24"/>
        </w:rPr>
      </w:pPr>
      <w:r w:rsidRPr="00566659">
        <w:rPr>
          <w:rFonts w:ascii="Arial Nova" w:hAnsi="Arial Nova"/>
          <w:sz w:val="24"/>
          <w:szCs w:val="24"/>
        </w:rPr>
        <w:t xml:space="preserve">No caso das </w:t>
      </w:r>
      <w:r w:rsidRPr="00566659">
        <w:rPr>
          <w:rFonts w:ascii="Arial Nova" w:hAnsi="Arial Nova"/>
          <w:b/>
          <w:bCs/>
          <w:sz w:val="24"/>
          <w:szCs w:val="24"/>
        </w:rPr>
        <w:t>Obras Unidas</w:t>
      </w:r>
      <w:r w:rsidRPr="00566659">
        <w:rPr>
          <w:rFonts w:ascii="Arial Nova" w:hAnsi="Arial Nova"/>
          <w:sz w:val="24"/>
          <w:szCs w:val="24"/>
        </w:rPr>
        <w:t>, estas enviarão a ata ao Conselho Central ao qual está vinculada e este, por sua vez encaminha ao Metropolitano para homologação.</w:t>
      </w:r>
    </w:p>
    <w:p w14:paraId="711C924A" w14:textId="77777777" w:rsidR="00566659" w:rsidRPr="00566659" w:rsidRDefault="00566659" w:rsidP="00F55A13">
      <w:pPr>
        <w:pStyle w:val="PargrafodaLista"/>
        <w:numPr>
          <w:ilvl w:val="0"/>
          <w:numId w:val="12"/>
        </w:numPr>
        <w:spacing w:after="0" w:line="360" w:lineRule="auto"/>
        <w:jc w:val="both"/>
        <w:rPr>
          <w:rFonts w:ascii="Arial Nova" w:hAnsi="Arial Nova"/>
          <w:sz w:val="24"/>
          <w:szCs w:val="24"/>
        </w:rPr>
      </w:pPr>
      <w:r w:rsidRPr="00566659">
        <w:rPr>
          <w:rFonts w:ascii="Arial Nova" w:hAnsi="Arial Nova"/>
          <w:sz w:val="24"/>
          <w:szCs w:val="24"/>
        </w:rPr>
        <w:t>O Conselho superior a Unidade que enviou a ata de eleição, tem 60 dias de prazo para se manifestar com a homologação ou não. Caso não haja nenhuma manifestação nesse período, se se entende como aprovação tácita (Artigo 44, inciso X da Regra da SSVP – Ed. 2023).</w:t>
      </w:r>
    </w:p>
    <w:p w14:paraId="70250390" w14:textId="77777777" w:rsidR="00566659" w:rsidRPr="00566659" w:rsidRDefault="00566659" w:rsidP="00F55A13">
      <w:pPr>
        <w:spacing w:after="0" w:line="360" w:lineRule="auto"/>
        <w:rPr>
          <w:rFonts w:ascii="Arial Nova" w:hAnsi="Arial Nova"/>
          <w:b/>
          <w:bCs/>
          <w:szCs w:val="24"/>
        </w:rPr>
      </w:pPr>
    </w:p>
    <w:p w14:paraId="57068DB1" w14:textId="77777777"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t>6º PASSO: Todos os membros da Nova Diretoria e Conselheiros Fiscais participar da Formação para Nova Diretoria promovida pela Escola de Capacitação Antonio Frederico Ozanam – Ecafo do Conselho a qual a Unidade está vinculada (Artigo 68 da Regra da SSVP – Ed. 2023).</w:t>
      </w:r>
    </w:p>
    <w:p w14:paraId="3176AC2C" w14:textId="77777777" w:rsidR="00566659" w:rsidRPr="00566659" w:rsidRDefault="00566659" w:rsidP="00F55A13">
      <w:pPr>
        <w:spacing w:after="0" w:line="360" w:lineRule="auto"/>
        <w:rPr>
          <w:rFonts w:ascii="Arial Nova" w:hAnsi="Arial Nova"/>
          <w:szCs w:val="24"/>
          <w:u w:val="single"/>
        </w:rPr>
      </w:pPr>
      <w:r w:rsidRPr="00566659">
        <w:rPr>
          <w:rFonts w:ascii="Arial Nova" w:hAnsi="Arial Nova"/>
          <w:szCs w:val="24"/>
          <w:u w:val="single"/>
        </w:rPr>
        <w:t>Orientações e recomendações</w:t>
      </w:r>
      <w:r w:rsidRPr="00566659">
        <w:rPr>
          <w:rFonts w:ascii="Arial Nova" w:hAnsi="Arial Nova"/>
          <w:szCs w:val="24"/>
        </w:rPr>
        <w:t xml:space="preserve">: Para evitar problemas de impedimento de alguns confrades e consócias serem empossados, é importante que seja bastante conversado antes para que todos possam participar da Formação, nem que seja necessário repetir para os impossibilitados (por motivo justo) de participar em uma única data. Essas articulações devem serem feitas com antecedências para evitar transtornos durante as cerimônias de posse. </w:t>
      </w:r>
    </w:p>
    <w:p w14:paraId="25C5D925" w14:textId="77777777" w:rsidR="00B44C40" w:rsidRDefault="00B44C40" w:rsidP="00F55A13">
      <w:pPr>
        <w:spacing w:after="0" w:line="360" w:lineRule="auto"/>
        <w:rPr>
          <w:rFonts w:ascii="Arial Nova" w:hAnsi="Arial Nova"/>
          <w:b/>
          <w:bCs/>
          <w:szCs w:val="24"/>
        </w:rPr>
      </w:pPr>
    </w:p>
    <w:p w14:paraId="1ABB6E5F" w14:textId="596F8172"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t xml:space="preserve">7º PASSO: As Posse serão conferidas de acordo com o previsto na Regra da SSVP nos seus artigos 66, 67 e 69. </w:t>
      </w:r>
    </w:p>
    <w:p w14:paraId="2385ECCF" w14:textId="77777777" w:rsidR="00566659" w:rsidRPr="00566659" w:rsidRDefault="00566659" w:rsidP="00F55A13">
      <w:pPr>
        <w:spacing w:after="0" w:line="360" w:lineRule="auto"/>
        <w:rPr>
          <w:rFonts w:ascii="Arial Nova" w:hAnsi="Arial Nova"/>
          <w:szCs w:val="24"/>
        </w:rPr>
      </w:pPr>
      <w:r w:rsidRPr="00566659">
        <w:rPr>
          <w:rFonts w:ascii="Arial Nova" w:hAnsi="Arial Nova"/>
          <w:szCs w:val="24"/>
          <w:u w:val="single"/>
        </w:rPr>
        <w:t>Orientações e recomendações</w:t>
      </w:r>
      <w:r w:rsidRPr="00566659">
        <w:rPr>
          <w:rFonts w:ascii="Arial Nova" w:hAnsi="Arial Nova"/>
          <w:szCs w:val="24"/>
        </w:rPr>
        <w:t xml:space="preserve">: </w:t>
      </w:r>
    </w:p>
    <w:p w14:paraId="63DA80D0" w14:textId="77777777" w:rsidR="00566659" w:rsidRPr="00566659" w:rsidRDefault="00566659" w:rsidP="00F55A13">
      <w:pPr>
        <w:pStyle w:val="PargrafodaLista"/>
        <w:numPr>
          <w:ilvl w:val="0"/>
          <w:numId w:val="13"/>
        </w:numPr>
        <w:spacing w:after="0" w:line="360" w:lineRule="auto"/>
        <w:jc w:val="both"/>
        <w:rPr>
          <w:rFonts w:ascii="Arial Nova" w:hAnsi="Arial Nova"/>
          <w:sz w:val="24"/>
          <w:szCs w:val="24"/>
        </w:rPr>
      </w:pPr>
      <w:r w:rsidRPr="00566659">
        <w:rPr>
          <w:rFonts w:ascii="Arial Nova" w:hAnsi="Arial Nova"/>
          <w:sz w:val="24"/>
          <w:szCs w:val="24"/>
        </w:rPr>
        <w:t>As posses nas unidades sem personalidade poderão ser realizadas nas Reuniões Ordinárias;</w:t>
      </w:r>
    </w:p>
    <w:p w14:paraId="508C8D91" w14:textId="46BC0E1A" w:rsidR="00566659" w:rsidRPr="00566659" w:rsidRDefault="00566659" w:rsidP="00F55A13">
      <w:pPr>
        <w:pStyle w:val="PargrafodaLista"/>
        <w:numPr>
          <w:ilvl w:val="0"/>
          <w:numId w:val="13"/>
        </w:numPr>
        <w:spacing w:after="0" w:line="360" w:lineRule="auto"/>
        <w:jc w:val="both"/>
        <w:rPr>
          <w:rFonts w:ascii="Arial Nova" w:hAnsi="Arial Nova"/>
          <w:sz w:val="24"/>
          <w:szCs w:val="24"/>
        </w:rPr>
      </w:pPr>
      <w:r w:rsidRPr="00566659">
        <w:rPr>
          <w:rFonts w:ascii="Arial Nova" w:hAnsi="Arial Nova"/>
          <w:sz w:val="24"/>
          <w:szCs w:val="24"/>
        </w:rPr>
        <w:t xml:space="preserve">Para as Unidades com Personalidade Jurídica observar as peculiaridades da ata para que atendam </w:t>
      </w:r>
      <w:r w:rsidR="00B44C40" w:rsidRPr="00566659">
        <w:rPr>
          <w:rFonts w:ascii="Arial Nova" w:hAnsi="Arial Nova"/>
          <w:sz w:val="24"/>
          <w:szCs w:val="24"/>
        </w:rPr>
        <w:t>às</w:t>
      </w:r>
      <w:r w:rsidRPr="00566659">
        <w:rPr>
          <w:rFonts w:ascii="Arial Nova" w:hAnsi="Arial Nova"/>
          <w:sz w:val="24"/>
          <w:szCs w:val="24"/>
        </w:rPr>
        <w:t xml:space="preserve"> exigências da SSVP e dos cartórios onde serão registradas.</w:t>
      </w:r>
    </w:p>
    <w:p w14:paraId="3B1FE3FE" w14:textId="77777777" w:rsidR="00566659" w:rsidRPr="00566659" w:rsidRDefault="00566659" w:rsidP="00F55A13">
      <w:pPr>
        <w:spacing w:after="0" w:line="360" w:lineRule="auto"/>
        <w:rPr>
          <w:rFonts w:ascii="Arial Nova" w:hAnsi="Arial Nova"/>
          <w:szCs w:val="24"/>
        </w:rPr>
      </w:pPr>
    </w:p>
    <w:p w14:paraId="517A6BD4" w14:textId="77777777" w:rsidR="00566659" w:rsidRPr="00566659" w:rsidRDefault="00566659" w:rsidP="00F55A13">
      <w:pPr>
        <w:spacing w:after="0" w:line="360" w:lineRule="auto"/>
        <w:rPr>
          <w:rFonts w:ascii="Arial Nova" w:hAnsi="Arial Nova"/>
          <w:b/>
          <w:bCs/>
          <w:szCs w:val="24"/>
        </w:rPr>
      </w:pPr>
      <w:r w:rsidRPr="00566659">
        <w:rPr>
          <w:rFonts w:ascii="Arial Nova" w:hAnsi="Arial Nova"/>
          <w:b/>
          <w:bCs/>
          <w:szCs w:val="24"/>
        </w:rPr>
        <w:t>IMPORTANTE:</w:t>
      </w:r>
    </w:p>
    <w:p w14:paraId="608774B6" w14:textId="77777777" w:rsidR="00566659" w:rsidRPr="00566659" w:rsidRDefault="00566659" w:rsidP="00F55A13">
      <w:pPr>
        <w:pStyle w:val="PargrafodaLista"/>
        <w:numPr>
          <w:ilvl w:val="0"/>
          <w:numId w:val="14"/>
        </w:numPr>
        <w:spacing w:after="0" w:line="360" w:lineRule="auto"/>
        <w:jc w:val="both"/>
        <w:rPr>
          <w:rFonts w:ascii="Arial Nova" w:hAnsi="Arial Nova"/>
          <w:sz w:val="24"/>
          <w:szCs w:val="24"/>
        </w:rPr>
      </w:pPr>
      <w:r w:rsidRPr="00566659">
        <w:rPr>
          <w:rFonts w:ascii="Arial Nova" w:hAnsi="Arial Nova"/>
          <w:sz w:val="24"/>
          <w:szCs w:val="24"/>
        </w:rPr>
        <w:t>Os Conselhos Centrais deverão cadastrar no Sistema de Gerenciamento da SSVP no Brasil, os mandatos de sua diretoria e das diretorias das Obras Unidas, Conselhos Particulares e Conferências, anexando as cópias digitalizadas das atas de eleição e de posse;</w:t>
      </w:r>
    </w:p>
    <w:p w14:paraId="47955C02" w14:textId="77777777" w:rsidR="00566659" w:rsidRPr="00566659" w:rsidRDefault="00566659" w:rsidP="00F55A13">
      <w:pPr>
        <w:pStyle w:val="PargrafodaLista"/>
        <w:numPr>
          <w:ilvl w:val="0"/>
          <w:numId w:val="14"/>
        </w:numPr>
        <w:spacing w:after="0" w:line="360" w:lineRule="auto"/>
        <w:jc w:val="both"/>
        <w:rPr>
          <w:rFonts w:ascii="Arial Nova" w:hAnsi="Arial Nova"/>
          <w:sz w:val="24"/>
          <w:szCs w:val="24"/>
        </w:rPr>
      </w:pPr>
      <w:r w:rsidRPr="00566659">
        <w:rPr>
          <w:rFonts w:ascii="Arial Nova" w:hAnsi="Arial Nova"/>
          <w:sz w:val="24"/>
          <w:szCs w:val="24"/>
        </w:rPr>
        <w:t>Os Conselhos Metropolitanos deverão fiscalizar o cumprimento do item anterior e cadastrar o mandato de sua diretoria e anexar as suas atas de eleição e de posse;</w:t>
      </w:r>
    </w:p>
    <w:p w14:paraId="47F79629" w14:textId="77777777" w:rsidR="00566659" w:rsidRPr="00566659" w:rsidRDefault="00566659" w:rsidP="00F55A13">
      <w:pPr>
        <w:pStyle w:val="PargrafodaLista"/>
        <w:numPr>
          <w:ilvl w:val="0"/>
          <w:numId w:val="14"/>
        </w:numPr>
        <w:spacing w:after="0" w:line="360" w:lineRule="auto"/>
        <w:jc w:val="both"/>
        <w:rPr>
          <w:rFonts w:ascii="Arial Nova" w:hAnsi="Arial Nova"/>
          <w:sz w:val="24"/>
          <w:szCs w:val="24"/>
        </w:rPr>
      </w:pPr>
      <w:r w:rsidRPr="00566659">
        <w:rPr>
          <w:rFonts w:ascii="Arial Nova" w:hAnsi="Arial Nova"/>
          <w:sz w:val="24"/>
          <w:szCs w:val="24"/>
        </w:rPr>
        <w:t xml:space="preserve">Conforme o § 3º do Artigo 52 da Regra da SSVP, </w:t>
      </w:r>
      <w:r w:rsidRPr="00566659">
        <w:rPr>
          <w:rFonts w:ascii="Arial Nova" w:hAnsi="Arial Nova"/>
          <w:b/>
          <w:bCs/>
          <w:sz w:val="24"/>
          <w:szCs w:val="24"/>
        </w:rPr>
        <w:t>os prazos do Processo Eleitoral são reduzidos pela metade</w:t>
      </w:r>
      <w:r w:rsidRPr="00566659">
        <w:rPr>
          <w:rFonts w:ascii="Arial Nova" w:hAnsi="Arial Nova"/>
          <w:sz w:val="24"/>
          <w:szCs w:val="24"/>
        </w:rPr>
        <w:t xml:space="preserve"> quando for necessário reiniciar o Processo (APENAS PARA REINÍCIO);</w:t>
      </w:r>
    </w:p>
    <w:p w14:paraId="00489025" w14:textId="77777777" w:rsidR="00566659" w:rsidRPr="00566659" w:rsidRDefault="00566659" w:rsidP="00F55A13">
      <w:pPr>
        <w:pStyle w:val="PargrafodaLista"/>
        <w:numPr>
          <w:ilvl w:val="0"/>
          <w:numId w:val="14"/>
        </w:numPr>
        <w:spacing w:after="0" w:line="360" w:lineRule="auto"/>
        <w:jc w:val="both"/>
        <w:rPr>
          <w:rFonts w:ascii="Arial Nova" w:hAnsi="Arial Nova"/>
          <w:sz w:val="24"/>
          <w:szCs w:val="24"/>
        </w:rPr>
      </w:pPr>
      <w:r w:rsidRPr="00566659">
        <w:rPr>
          <w:rFonts w:ascii="Arial Nova" w:hAnsi="Arial Nova"/>
          <w:sz w:val="24"/>
          <w:szCs w:val="24"/>
        </w:rPr>
        <w:t xml:space="preserve">Somente nos casos de recuso de homologação de eleições (tendo cumprido as etapas anteriores), o Conselho que analisou a documentação da eleição, determinará a realização de um novo pelito no período de 60 dias (Artigo 44, inciso XI da Regra da SSVP – Ed. 2023). </w:t>
      </w:r>
      <w:r w:rsidRPr="00566659">
        <w:rPr>
          <w:rFonts w:ascii="Arial Nova" w:hAnsi="Arial Nova"/>
          <w:b/>
          <w:bCs/>
          <w:sz w:val="24"/>
          <w:szCs w:val="24"/>
        </w:rPr>
        <w:t xml:space="preserve">Isso vale, apenas, para os casos em que a eleição não foi homologada </w:t>
      </w:r>
      <w:r w:rsidRPr="00566659">
        <w:rPr>
          <w:rFonts w:ascii="Arial Nova" w:hAnsi="Arial Nova"/>
          <w:sz w:val="24"/>
          <w:szCs w:val="24"/>
        </w:rPr>
        <w:t xml:space="preserve">e que as etapas anteriores tenham transcorridos conforme o </w:t>
      </w:r>
      <w:r w:rsidRPr="00566659">
        <w:rPr>
          <w:rFonts w:ascii="Arial Nova" w:hAnsi="Arial Nova"/>
          <w:sz w:val="24"/>
          <w:szCs w:val="24"/>
        </w:rPr>
        <w:lastRenderedPageBreak/>
        <w:t xml:space="preserve">Regulamento. Se as irregularidades tenham ocorrido nas etapas anteriores, o processo deve ser </w:t>
      </w:r>
      <w:r w:rsidRPr="00566659">
        <w:rPr>
          <w:rFonts w:ascii="Arial Nova" w:hAnsi="Arial Nova"/>
          <w:b/>
          <w:bCs/>
          <w:sz w:val="24"/>
          <w:szCs w:val="24"/>
        </w:rPr>
        <w:t>reiniciado com os prazos reduzidos pela metade</w:t>
      </w:r>
      <w:r w:rsidRPr="00566659">
        <w:rPr>
          <w:rFonts w:ascii="Arial Nova" w:hAnsi="Arial Nova"/>
          <w:sz w:val="24"/>
          <w:szCs w:val="24"/>
        </w:rPr>
        <w:t xml:space="preserve">. </w:t>
      </w:r>
    </w:p>
    <w:p w14:paraId="7ACE8878" w14:textId="77777777" w:rsidR="00566659" w:rsidRPr="00566659" w:rsidRDefault="00566659" w:rsidP="00F55A13">
      <w:pPr>
        <w:pStyle w:val="PargrafodaLista"/>
        <w:numPr>
          <w:ilvl w:val="0"/>
          <w:numId w:val="14"/>
        </w:numPr>
        <w:spacing w:after="0" w:line="360" w:lineRule="auto"/>
        <w:jc w:val="both"/>
        <w:rPr>
          <w:rFonts w:ascii="Arial Nova" w:hAnsi="Arial Nova"/>
          <w:sz w:val="24"/>
          <w:szCs w:val="24"/>
        </w:rPr>
      </w:pPr>
      <w:r w:rsidRPr="00566659">
        <w:rPr>
          <w:rFonts w:ascii="Arial Nova" w:hAnsi="Arial Nova"/>
          <w:sz w:val="24"/>
          <w:szCs w:val="24"/>
        </w:rPr>
        <w:t>Para elaboração das atas de eleições e posses, seguir o que determina a Instrução normativa 002/2023 e os modelos de atas disponíveis no site SSVP Brasil (ssvpbrasil.org.br).</w:t>
      </w:r>
    </w:p>
    <w:p w14:paraId="7A17D8A0" w14:textId="778BAA87" w:rsidR="003F4998" w:rsidRDefault="003F4998" w:rsidP="00F55A13">
      <w:pPr>
        <w:spacing w:after="0" w:line="360" w:lineRule="auto"/>
        <w:ind w:left="11" w:hanging="11"/>
        <w:rPr>
          <w:rFonts w:ascii="Montserrat" w:hAnsi="Montserrat"/>
          <w:szCs w:val="24"/>
        </w:rPr>
      </w:pPr>
    </w:p>
    <w:p w14:paraId="52C19A3B" w14:textId="77777777" w:rsidR="00414A00" w:rsidRDefault="00414A00" w:rsidP="00F55A13">
      <w:pPr>
        <w:spacing w:after="0" w:line="360" w:lineRule="auto"/>
        <w:ind w:left="11" w:hanging="11"/>
        <w:rPr>
          <w:rFonts w:ascii="Montserrat" w:hAnsi="Montserrat"/>
          <w:szCs w:val="24"/>
        </w:rPr>
      </w:pPr>
    </w:p>
    <w:p w14:paraId="77C4B3AD" w14:textId="77777777" w:rsidR="00414A00" w:rsidRPr="00566659" w:rsidRDefault="00414A00" w:rsidP="00F55A13">
      <w:pPr>
        <w:spacing w:after="0" w:line="360" w:lineRule="auto"/>
        <w:ind w:left="11" w:hanging="11"/>
        <w:rPr>
          <w:rFonts w:ascii="Montserrat" w:hAnsi="Montserrat"/>
          <w:szCs w:val="24"/>
        </w:rPr>
      </w:pPr>
    </w:p>
    <w:sectPr w:rsidR="00414A00" w:rsidRPr="00566659" w:rsidSect="00B05C0F">
      <w:headerReference w:type="default" r:id="rId7"/>
      <w:footerReference w:type="default" r:id="rId8"/>
      <w:pgSz w:w="11906" w:h="16838"/>
      <w:pgMar w:top="3119" w:right="1134" w:bottom="1134" w:left="1134" w:header="851"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3FDCC7" w14:textId="77777777" w:rsidR="00024266" w:rsidRDefault="00024266" w:rsidP="00FE5CA2">
      <w:pPr>
        <w:spacing w:after="0" w:line="240" w:lineRule="auto"/>
      </w:pPr>
      <w:r>
        <w:separator/>
      </w:r>
    </w:p>
  </w:endnote>
  <w:endnote w:type="continuationSeparator" w:id="0">
    <w:p w14:paraId="763CBB6D" w14:textId="77777777" w:rsidR="00024266" w:rsidRDefault="00024266" w:rsidP="00FE5C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MT">
    <w:altName w:val="Times New Roman"/>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 w:name="Arial Nova">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440B5" w14:textId="548085BF" w:rsidR="00FE5CA2" w:rsidRDefault="00FE5CA2" w:rsidP="00FE5CA2">
    <w:pPr>
      <w:spacing w:before="161" w:after="0" w:line="259" w:lineRule="auto"/>
      <w:ind w:left="0" w:firstLine="0"/>
      <w:jc w:val="center"/>
    </w:pPr>
    <w:r>
      <w:rPr>
        <w:rFonts w:ascii="Calibri" w:eastAsia="Calibri" w:hAnsi="Calibri" w:cs="Calibri"/>
        <w:noProof/>
        <w:color w:val="000000"/>
        <w:sz w:val="22"/>
      </w:rPr>
      <mc:AlternateContent>
        <mc:Choice Requires="wpg">
          <w:drawing>
            <wp:anchor distT="0" distB="0" distL="114300" distR="114300" simplePos="0" relativeHeight="251663360" behindDoc="0" locked="0" layoutInCell="1" allowOverlap="1" wp14:anchorId="6CAE9B58" wp14:editId="1E94A1ED">
              <wp:simplePos x="0" y="0"/>
              <wp:positionH relativeFrom="page">
                <wp:align>left</wp:align>
              </wp:positionH>
              <wp:positionV relativeFrom="page">
                <wp:posOffset>9664065</wp:posOffset>
              </wp:positionV>
              <wp:extent cx="7559993" cy="3594"/>
              <wp:effectExtent l="0" t="0" r="0" b="0"/>
              <wp:wrapTopAndBottom/>
              <wp:docPr id="876" name="Group 876"/>
              <wp:cNvGraphicFramePr/>
              <a:graphic xmlns:a="http://schemas.openxmlformats.org/drawingml/2006/main">
                <a:graphicData uri="http://schemas.microsoft.com/office/word/2010/wordprocessingGroup">
                  <wpg:wgp>
                    <wpg:cNvGrpSpPr/>
                    <wpg:grpSpPr>
                      <a:xfrm>
                        <a:off x="0" y="0"/>
                        <a:ext cx="7559993" cy="3594"/>
                        <a:chOff x="0" y="0"/>
                        <a:chExt cx="7559993" cy="3594"/>
                      </a:xfrm>
                    </wpg:grpSpPr>
                    <wps:wsp>
                      <wps:cNvPr id="999" name="Shape 999"/>
                      <wps:cNvSpPr/>
                      <wps:spPr>
                        <a:xfrm>
                          <a:off x="0" y="0"/>
                          <a:ext cx="7559993" cy="9144"/>
                        </a:xfrm>
                        <a:custGeom>
                          <a:avLst/>
                          <a:gdLst/>
                          <a:ahLst/>
                          <a:cxnLst/>
                          <a:rect l="0" t="0" r="0" b="0"/>
                          <a:pathLst>
                            <a:path w="7559993" h="9144">
                              <a:moveTo>
                                <a:pt x="0" y="0"/>
                              </a:moveTo>
                              <a:lnTo>
                                <a:pt x="7559993" y="0"/>
                              </a:lnTo>
                              <a:lnTo>
                                <a:pt x="7559993" y="9144"/>
                              </a:lnTo>
                              <a:lnTo>
                                <a:pt x="0" y="9144"/>
                              </a:lnTo>
                              <a:lnTo>
                                <a:pt x="0" y="0"/>
                              </a:lnTo>
                            </a:path>
                          </a:pathLst>
                        </a:custGeom>
                        <a:ln w="0" cap="flat">
                          <a:miter lim="127000"/>
                        </a:ln>
                      </wps:spPr>
                      <wps:style>
                        <a:lnRef idx="0">
                          <a:srgbClr val="000000">
                            <a:alpha val="0"/>
                          </a:srgbClr>
                        </a:lnRef>
                        <a:fillRef idx="1">
                          <a:srgbClr val="305292"/>
                        </a:fillRef>
                        <a:effectRef idx="0">
                          <a:scrgbClr r="0" g="0" b="0"/>
                        </a:effectRef>
                        <a:fontRef idx="none"/>
                      </wps:style>
                      <wps:bodyPr/>
                    </wps:wsp>
                  </wpg:wgp>
                </a:graphicData>
              </a:graphic>
            </wp:anchor>
          </w:drawing>
        </mc:Choice>
        <mc:Fallback>
          <w:pict>
            <v:group w14:anchorId="4B456221" id="Group 876" o:spid="_x0000_s1026" style="position:absolute;margin-left:0;margin-top:760.95pt;width:595.3pt;height:.3pt;z-index:251663360;mso-position-horizontal:left;mso-position-horizontal-relative:page;mso-position-vertical-relative:page" coordsize="7559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">
              <v:shape id="Shape 999" o:spid="_x0000_s1027" style="position:absolute;width:75599;height:91;visibility:visible;mso-wrap-style:square;v-text-anchor:top" coordsize="75599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" path="m,l7559993,r,9144l,9144,,e" fillcolor="#305292" stroked="f" strokeweight="0">
                <v:stroke miterlimit="83231f" joinstyle="miter"/>
                <v:path arrowok="t" textboxrect="0,0,7559993,9144"/>
              </v:shape>
              <w10:wrap type="topAndBottom" anchorx="page" anchory="page"/>
            </v:group>
          </w:pict>
        </mc:Fallback>
      </mc:AlternateContent>
    </w:r>
    <w:r>
      <w:rPr>
        <w:b/>
        <w:color w:val="305292"/>
        <w:sz w:val="18"/>
      </w:rPr>
      <w:t>Sociedade de São Vicente de Paulo - Conselho Nacional do Brasil</w:t>
    </w:r>
  </w:p>
  <w:p w14:paraId="03435399" w14:textId="77777777" w:rsidR="00FE5CA2" w:rsidRDefault="00FE5CA2" w:rsidP="00FE5CA2">
    <w:pPr>
      <w:spacing w:after="0" w:line="259" w:lineRule="auto"/>
      <w:ind w:left="0" w:firstLine="0"/>
      <w:jc w:val="center"/>
    </w:pPr>
    <w:r>
      <w:rPr>
        <w:color w:val="305292"/>
        <w:sz w:val="18"/>
      </w:rPr>
      <w:t>Rua Riachuelo, 75 - Centro - Rio de Janeiro/RJ - CEP 20230-010 - CNPJ: 34.127.563-67</w:t>
    </w:r>
  </w:p>
  <w:p w14:paraId="45C9F67F" w14:textId="7A6043C1" w:rsidR="00FE5CA2" w:rsidRDefault="00FE5CA2">
    <w:pPr>
      <w:pStyle w:val="Rodap"/>
    </w:pPr>
    <w:r>
      <w:rPr>
        <w:rFonts w:ascii="Calibri" w:eastAsia="Calibri" w:hAnsi="Calibri" w:cs="Calibri"/>
        <w:noProof/>
        <w:color w:val="000000"/>
        <w:sz w:val="22"/>
      </w:rPr>
      <mc:AlternateContent>
        <mc:Choice Requires="wpg">
          <w:drawing>
            <wp:anchor distT="0" distB="0" distL="114300" distR="114300" simplePos="0" relativeHeight="251661312" behindDoc="0" locked="0" layoutInCell="1" allowOverlap="1" wp14:anchorId="341D60B9" wp14:editId="76126331">
              <wp:simplePos x="0" y="0"/>
              <wp:positionH relativeFrom="page">
                <wp:align>left</wp:align>
              </wp:positionH>
              <wp:positionV relativeFrom="page">
                <wp:align>bottom</wp:align>
              </wp:positionV>
              <wp:extent cx="7560001" cy="539999"/>
              <wp:effectExtent l="0" t="0" r="3175" b="0"/>
              <wp:wrapTopAndBottom/>
              <wp:docPr id="1" name="Group 874"/>
              <wp:cNvGraphicFramePr/>
              <a:graphic xmlns:a="http://schemas.openxmlformats.org/drawingml/2006/main">
                <a:graphicData uri="http://schemas.microsoft.com/office/word/2010/wordprocessingGroup">
                  <wpg:wgp>
                    <wpg:cNvGrpSpPr/>
                    <wpg:grpSpPr>
                      <a:xfrm>
                        <a:off x="0" y="0"/>
                        <a:ext cx="7560001" cy="539999"/>
                        <a:chOff x="0" y="0"/>
                        <a:chExt cx="7560001" cy="539999"/>
                      </a:xfrm>
                    </wpg:grpSpPr>
                    <wps:wsp>
                      <wps:cNvPr id="2" name="Shape 9"/>
                      <wps:cNvSpPr/>
                      <wps:spPr>
                        <a:xfrm>
                          <a:off x="1925772" y="0"/>
                          <a:ext cx="5634228" cy="539999"/>
                        </a:xfrm>
                        <a:custGeom>
                          <a:avLst/>
                          <a:gdLst/>
                          <a:ahLst/>
                          <a:cxnLst/>
                          <a:rect l="0" t="0" r="0" b="0"/>
                          <a:pathLst>
                            <a:path w="5634228" h="539999">
                              <a:moveTo>
                                <a:pt x="0" y="0"/>
                              </a:moveTo>
                              <a:lnTo>
                                <a:pt x="1493508" y="0"/>
                              </a:lnTo>
                              <a:lnTo>
                                <a:pt x="1731264" y="323990"/>
                              </a:lnTo>
                              <a:lnTo>
                                <a:pt x="5634228" y="323990"/>
                              </a:lnTo>
                              <a:lnTo>
                                <a:pt x="5634228" y="539999"/>
                              </a:lnTo>
                              <a:lnTo>
                                <a:pt x="396223" y="539999"/>
                              </a:lnTo>
                              <a:lnTo>
                                <a:pt x="0" y="0"/>
                              </a:lnTo>
                              <a:close/>
                            </a:path>
                          </a:pathLst>
                        </a:custGeom>
                        <a:ln w="0" cap="flat">
                          <a:miter lim="127000"/>
                        </a:ln>
                      </wps:spPr>
                      <wps:style>
                        <a:lnRef idx="0">
                          <a:srgbClr val="000000">
                            <a:alpha val="0"/>
                          </a:srgbClr>
                        </a:lnRef>
                        <a:fillRef idx="1">
                          <a:srgbClr val="305292"/>
                        </a:fillRef>
                        <a:effectRef idx="0">
                          <a:scrgbClr r="0" g="0" b="0"/>
                        </a:effectRef>
                        <a:fontRef idx="none"/>
                      </wps:style>
                      <wps:bodyPr/>
                    </wps:wsp>
                    <wps:wsp>
                      <wps:cNvPr id="3" name="Shape 10"/>
                      <wps:cNvSpPr/>
                      <wps:spPr>
                        <a:xfrm>
                          <a:off x="23" y="0"/>
                          <a:ext cx="1876997" cy="215989"/>
                        </a:xfrm>
                        <a:custGeom>
                          <a:avLst/>
                          <a:gdLst/>
                          <a:ahLst/>
                          <a:cxnLst/>
                          <a:rect l="0" t="0" r="0" b="0"/>
                          <a:pathLst>
                            <a:path w="1876997" h="215989">
                              <a:moveTo>
                                <a:pt x="0" y="0"/>
                              </a:moveTo>
                              <a:lnTo>
                                <a:pt x="1721548" y="0"/>
                              </a:lnTo>
                              <a:lnTo>
                                <a:pt x="1876997" y="215989"/>
                              </a:lnTo>
                              <a:lnTo>
                                <a:pt x="0" y="215989"/>
                              </a:lnTo>
                              <a:lnTo>
                                <a:pt x="0" y="0"/>
                              </a:lnTo>
                              <a:close/>
                            </a:path>
                          </a:pathLst>
                        </a:custGeom>
                        <a:ln w="0" cap="flat">
                          <a:miter lim="127000"/>
                        </a:ln>
                      </wps:spPr>
                      <wps:style>
                        <a:lnRef idx="0">
                          <a:srgbClr val="000000">
                            <a:alpha val="0"/>
                          </a:srgbClr>
                        </a:lnRef>
                        <a:fillRef idx="1">
                          <a:srgbClr val="327B4D"/>
                        </a:fillRef>
                        <a:effectRef idx="0">
                          <a:scrgbClr r="0" g="0" b="0"/>
                        </a:effectRef>
                        <a:fontRef idx="none"/>
                      </wps:style>
                      <wps:bodyPr/>
                    </wps:wsp>
                    <wps:wsp>
                      <wps:cNvPr id="4" name="Shape 997"/>
                      <wps:cNvSpPr/>
                      <wps:spPr>
                        <a:xfrm>
                          <a:off x="0" y="8"/>
                          <a:ext cx="938505" cy="215988"/>
                        </a:xfrm>
                        <a:custGeom>
                          <a:avLst/>
                          <a:gdLst/>
                          <a:ahLst/>
                          <a:cxnLst/>
                          <a:rect l="0" t="0" r="0" b="0"/>
                          <a:pathLst>
                            <a:path w="938505" h="215988">
                              <a:moveTo>
                                <a:pt x="0" y="0"/>
                              </a:moveTo>
                              <a:lnTo>
                                <a:pt x="938505" y="0"/>
                              </a:lnTo>
                              <a:lnTo>
                                <a:pt x="938505" y="215988"/>
                              </a:lnTo>
                              <a:lnTo>
                                <a:pt x="0" y="215988"/>
                              </a:lnTo>
                              <a:lnTo>
                                <a:pt x="0" y="0"/>
                              </a:lnTo>
                            </a:path>
                          </a:pathLst>
                        </a:custGeom>
                        <a:ln w="0" cap="flat">
                          <a:miter lim="127000"/>
                        </a:ln>
                      </wps:spPr>
                      <wps:style>
                        <a:lnRef idx="0">
                          <a:srgbClr val="000000">
                            <a:alpha val="0"/>
                          </a:srgbClr>
                        </a:lnRef>
                        <a:fillRef idx="1">
                          <a:srgbClr val="EDB236"/>
                        </a:fillRef>
                        <a:effectRef idx="0">
                          <a:scrgbClr r="0" g="0" b="0"/>
                        </a:effectRef>
                        <a:fontRef idx="none"/>
                      </wps:style>
                      <wps:bodyPr/>
                    </wps:wsp>
                  </wpg:wgp>
                </a:graphicData>
              </a:graphic>
            </wp:anchor>
          </w:drawing>
        </mc:Choice>
        <mc:Fallback>
          <w:pict>
            <v:group w14:anchorId="1F76C3F1" id="Group 874" o:spid="_x0000_s1026" style="position:absolute;margin-left:0;margin-top:0;width:595.3pt;height:42.5pt;z-index:251661312;mso-position-horizontal:left;mso-position-horizontal-relative:page;mso-position-vertical:bottom;mso-position-vertical-relative:page" coordsize="75600,53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">
              <v:shape id="Shape 9" o:spid="_x0000_s1027" style="position:absolute;left:19257;width:56343;height:5399;visibility:visible;mso-wrap-style:square;v-text-anchor:top" coordsize="5634228,539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" path="m,l1493508,r237756,323990l5634228,323990r,216009l396223,539999,,xe" fillcolor="#305292" stroked="f" strokeweight="0">
                <v:stroke miterlimit="83231f" joinstyle="miter"/>
                <v:path arrowok="t" textboxrect="0,0,5634228,539999"/>
              </v:shape>
              <v:shape id="Shape 10" o:spid="_x0000_s1028" style="position:absolute;width:18770;height:2159;visibility:visible;mso-wrap-style:square;v-text-anchor:top" coordsize="1876997,215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" path="m,l1721548,r155449,215989l,215989,,xe" fillcolor="#327b4d" stroked="f" strokeweight="0">
                <v:stroke miterlimit="83231f" joinstyle="miter"/>
                <v:path arrowok="t" textboxrect="0,0,1876997,215989"/>
              </v:shape>
              <v:shape id="Shape 997" o:spid="_x0000_s1029" style="position:absolute;width:9385;height:2159;visibility:visible;mso-wrap-style:square;v-text-anchor:top" coordsize="938505,215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" path="m,l938505,r,215988l,215988,,e" fillcolor="#edb236" stroked="f" strokeweight="0">
                <v:stroke miterlimit="83231f" joinstyle="miter"/>
                <v:path arrowok="t" textboxrect="0,0,938505,215988"/>
              </v:shape>
              <w10:wrap type="topAndBottom"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E0D41" w14:textId="77777777" w:rsidR="00024266" w:rsidRDefault="00024266" w:rsidP="00FE5CA2">
      <w:pPr>
        <w:spacing w:after="0" w:line="240" w:lineRule="auto"/>
      </w:pPr>
      <w:r>
        <w:separator/>
      </w:r>
    </w:p>
  </w:footnote>
  <w:footnote w:type="continuationSeparator" w:id="0">
    <w:p w14:paraId="03F38D54" w14:textId="77777777" w:rsidR="00024266" w:rsidRDefault="00024266" w:rsidP="00FE5C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9EBE9" w14:textId="3AB1158F" w:rsidR="00FE5CA2" w:rsidRDefault="00FE5CA2">
    <w:pPr>
      <w:pStyle w:val="Cabealho"/>
    </w:pPr>
    <w:r>
      <w:rPr>
        <w:noProof/>
      </w:rPr>
      <w:drawing>
        <wp:anchor distT="0" distB="0" distL="114300" distR="114300" simplePos="0" relativeHeight="251664384" behindDoc="0" locked="0" layoutInCell="1" allowOverlap="1" wp14:anchorId="3694D78E" wp14:editId="5AD1E58B">
          <wp:simplePos x="0" y="0"/>
          <wp:positionH relativeFrom="column">
            <wp:posOffset>165735</wp:posOffset>
          </wp:positionH>
          <wp:positionV relativeFrom="paragraph">
            <wp:posOffset>2540</wp:posOffset>
          </wp:positionV>
          <wp:extent cx="2935057" cy="1080000"/>
          <wp:effectExtent l="0" t="0" r="0" b="6350"/>
          <wp:wrapSquare wrapText="bothSides"/>
          <wp:docPr id="13" name="Gráfico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935057" cy="1080000"/>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Calibri" w:hAnsi="Calibri" w:cs="Calibri"/>
        <w:noProof/>
        <w:color w:val="000000"/>
        <w:sz w:val="22"/>
      </w:rPr>
      <mc:AlternateContent>
        <mc:Choice Requires="wpg">
          <w:drawing>
            <wp:anchor distT="0" distB="0" distL="114300" distR="114300" simplePos="0" relativeHeight="251659264" behindDoc="0" locked="0" layoutInCell="1" allowOverlap="1" wp14:anchorId="5DAE7DA8" wp14:editId="377A910B">
              <wp:simplePos x="0" y="0"/>
              <wp:positionH relativeFrom="page">
                <wp:align>right</wp:align>
              </wp:positionH>
              <wp:positionV relativeFrom="page">
                <wp:align>top</wp:align>
              </wp:positionV>
              <wp:extent cx="7559675" cy="539750"/>
              <wp:effectExtent l="0" t="0" r="3175" b="0"/>
              <wp:wrapSquare wrapText="bothSides"/>
              <wp:docPr id="874" name="Group 874"/>
              <wp:cNvGraphicFramePr/>
              <a:graphic xmlns:a="http://schemas.openxmlformats.org/drawingml/2006/main">
                <a:graphicData uri="http://schemas.microsoft.com/office/word/2010/wordprocessingGroup">
                  <wpg:wgp>
                    <wpg:cNvGrpSpPr/>
                    <wpg:grpSpPr>
                      <a:xfrm rot="10800000">
                        <a:off x="0" y="0"/>
                        <a:ext cx="7559675" cy="539750"/>
                        <a:chOff x="0" y="0"/>
                        <a:chExt cx="7560001" cy="539999"/>
                      </a:xfrm>
                    </wpg:grpSpPr>
                    <wps:wsp>
                      <wps:cNvPr id="9" name="Shape 9"/>
                      <wps:cNvSpPr/>
                      <wps:spPr>
                        <a:xfrm>
                          <a:off x="1925772" y="0"/>
                          <a:ext cx="5634228" cy="539999"/>
                        </a:xfrm>
                        <a:custGeom>
                          <a:avLst/>
                          <a:gdLst/>
                          <a:ahLst/>
                          <a:cxnLst/>
                          <a:rect l="0" t="0" r="0" b="0"/>
                          <a:pathLst>
                            <a:path w="5634228" h="539999">
                              <a:moveTo>
                                <a:pt x="0" y="0"/>
                              </a:moveTo>
                              <a:lnTo>
                                <a:pt x="1493508" y="0"/>
                              </a:lnTo>
                              <a:lnTo>
                                <a:pt x="1731264" y="323990"/>
                              </a:lnTo>
                              <a:lnTo>
                                <a:pt x="5634228" y="323990"/>
                              </a:lnTo>
                              <a:lnTo>
                                <a:pt x="5634228" y="539999"/>
                              </a:lnTo>
                              <a:lnTo>
                                <a:pt x="396223" y="539999"/>
                              </a:lnTo>
                              <a:lnTo>
                                <a:pt x="0" y="0"/>
                              </a:lnTo>
                              <a:close/>
                            </a:path>
                          </a:pathLst>
                        </a:custGeom>
                        <a:ln w="0" cap="flat">
                          <a:miter lim="127000"/>
                        </a:ln>
                      </wps:spPr>
                      <wps:style>
                        <a:lnRef idx="0">
                          <a:srgbClr val="000000">
                            <a:alpha val="0"/>
                          </a:srgbClr>
                        </a:lnRef>
                        <a:fillRef idx="1">
                          <a:srgbClr val="305292"/>
                        </a:fillRef>
                        <a:effectRef idx="0">
                          <a:scrgbClr r="0" g="0" b="0"/>
                        </a:effectRef>
                        <a:fontRef idx="none"/>
                      </wps:style>
                      <wps:bodyPr/>
                    </wps:wsp>
                    <wps:wsp>
                      <wps:cNvPr id="10" name="Shape 10"/>
                      <wps:cNvSpPr/>
                      <wps:spPr>
                        <a:xfrm>
                          <a:off x="23" y="0"/>
                          <a:ext cx="1876997" cy="215989"/>
                        </a:xfrm>
                        <a:custGeom>
                          <a:avLst/>
                          <a:gdLst/>
                          <a:ahLst/>
                          <a:cxnLst/>
                          <a:rect l="0" t="0" r="0" b="0"/>
                          <a:pathLst>
                            <a:path w="1876997" h="215989">
                              <a:moveTo>
                                <a:pt x="0" y="0"/>
                              </a:moveTo>
                              <a:lnTo>
                                <a:pt x="1721548" y="0"/>
                              </a:lnTo>
                              <a:lnTo>
                                <a:pt x="1876997" y="215989"/>
                              </a:lnTo>
                              <a:lnTo>
                                <a:pt x="0" y="215989"/>
                              </a:lnTo>
                              <a:lnTo>
                                <a:pt x="0" y="0"/>
                              </a:lnTo>
                              <a:close/>
                            </a:path>
                          </a:pathLst>
                        </a:custGeom>
                        <a:ln w="0" cap="flat">
                          <a:miter lim="127000"/>
                        </a:ln>
                      </wps:spPr>
                      <wps:style>
                        <a:lnRef idx="0">
                          <a:srgbClr val="000000">
                            <a:alpha val="0"/>
                          </a:srgbClr>
                        </a:lnRef>
                        <a:fillRef idx="1">
                          <a:srgbClr val="327B4D"/>
                        </a:fillRef>
                        <a:effectRef idx="0">
                          <a:scrgbClr r="0" g="0" b="0"/>
                        </a:effectRef>
                        <a:fontRef idx="none"/>
                      </wps:style>
                      <wps:bodyPr/>
                    </wps:wsp>
                    <wps:wsp>
                      <wps:cNvPr id="997" name="Shape 997"/>
                      <wps:cNvSpPr/>
                      <wps:spPr>
                        <a:xfrm>
                          <a:off x="0" y="8"/>
                          <a:ext cx="938505" cy="215988"/>
                        </a:xfrm>
                        <a:custGeom>
                          <a:avLst/>
                          <a:gdLst/>
                          <a:ahLst/>
                          <a:cxnLst/>
                          <a:rect l="0" t="0" r="0" b="0"/>
                          <a:pathLst>
                            <a:path w="938505" h="215988">
                              <a:moveTo>
                                <a:pt x="0" y="0"/>
                              </a:moveTo>
                              <a:lnTo>
                                <a:pt x="938505" y="0"/>
                              </a:lnTo>
                              <a:lnTo>
                                <a:pt x="938505" y="215988"/>
                              </a:lnTo>
                              <a:lnTo>
                                <a:pt x="0" y="215988"/>
                              </a:lnTo>
                              <a:lnTo>
                                <a:pt x="0" y="0"/>
                              </a:lnTo>
                            </a:path>
                          </a:pathLst>
                        </a:custGeom>
                        <a:ln w="0" cap="flat">
                          <a:miter lim="127000"/>
                        </a:ln>
                      </wps:spPr>
                      <wps:style>
                        <a:lnRef idx="0">
                          <a:srgbClr val="000000">
                            <a:alpha val="0"/>
                          </a:srgbClr>
                        </a:lnRef>
                        <a:fillRef idx="1">
                          <a:srgbClr val="EDB236"/>
                        </a:fillRef>
                        <a:effectRef idx="0">
                          <a:scrgbClr r="0" g="0" b="0"/>
                        </a:effectRef>
                        <a:fontRef idx="none"/>
                      </wps:style>
                      <wps:bodyPr/>
                    </wps:wsp>
                  </wpg:wgp>
                </a:graphicData>
              </a:graphic>
            </wp:anchor>
          </w:drawing>
        </mc:Choice>
        <mc:Fallback>
          <w:pict>
            <v:group w14:anchorId="763255E5" id="Group 874" o:spid="_x0000_s1026" style="position:absolute;margin-left:544.05pt;margin-top:0;width:595.25pt;height:42.5pt;rotation:180;z-index:251659264;mso-position-horizontal:right;mso-position-horizontal-relative:page;mso-position-vertical:top;mso-position-vertical-relative:page" coordsize="75600,53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">
              <v:shape id="Shape 9" o:spid="_x0000_s1027" style="position:absolute;left:19257;width:56343;height:5399;visibility:visible;mso-wrap-style:square;v-text-anchor:top" coordsize="5634228,539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" path="m,l1493508,r237756,323990l5634228,323990r,216009l396223,539999,,xe" fillcolor="#305292" stroked="f" strokeweight="0">
                <v:stroke miterlimit="83231f" joinstyle="miter"/>
                <v:path arrowok="t" textboxrect="0,0,5634228,539999"/>
              </v:shape>
              <v:shape id="Shape 10" o:spid="_x0000_s1028" style="position:absolute;width:18770;height:2159;visibility:visible;mso-wrap-style:square;v-text-anchor:top" coordsize="1876997,215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" path="m,l1721548,r155449,215989l,215989,,xe" fillcolor="#327b4d" stroked="f" strokeweight="0">
                <v:stroke miterlimit="83231f" joinstyle="miter"/>
                <v:path arrowok="t" textboxrect="0,0,1876997,215989"/>
              </v:shape>
              <v:shape id="Shape 997" o:spid="_x0000_s1029" style="position:absolute;width:9385;height:2159;visibility:visible;mso-wrap-style:square;v-text-anchor:top" coordsize="938505,215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" path="m,l938505,r,215988l,215988,,e" fillcolor="#edb236" stroked="f" strokeweight="0">
                <v:stroke miterlimit="83231f" joinstyle="miter"/>
                <v:path arrowok="t" textboxrect="0,0,938505,215988"/>
              </v:shape>
              <w10:wrap type="square"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D3BB6"/>
    <w:multiLevelType w:val="hybridMultilevel"/>
    <w:tmpl w:val="2BE8E770"/>
    <w:lvl w:ilvl="0" w:tplc="67628CFC">
      <w:start w:val="1"/>
      <w:numFmt w:val="decimal"/>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1" w15:restartNumberingAfterBreak="0">
    <w:nsid w:val="07E75BA3"/>
    <w:multiLevelType w:val="hybridMultilevel"/>
    <w:tmpl w:val="CCDEDA44"/>
    <w:lvl w:ilvl="0" w:tplc="295C192A">
      <w:start w:val="1"/>
      <w:numFmt w:val="decimal"/>
      <w:lvlText w:val="%1."/>
      <w:lvlJc w:val="left"/>
      <w:pPr>
        <w:ind w:left="2061" w:hanging="360"/>
      </w:pPr>
      <w:rPr>
        <w:rFonts w:hint="default"/>
      </w:rPr>
    </w:lvl>
    <w:lvl w:ilvl="1" w:tplc="04160019" w:tentative="1">
      <w:start w:val="1"/>
      <w:numFmt w:val="lowerLetter"/>
      <w:lvlText w:val="%2."/>
      <w:lvlJc w:val="left"/>
      <w:pPr>
        <w:ind w:left="2781" w:hanging="360"/>
      </w:pPr>
    </w:lvl>
    <w:lvl w:ilvl="2" w:tplc="0416001B" w:tentative="1">
      <w:start w:val="1"/>
      <w:numFmt w:val="lowerRoman"/>
      <w:lvlText w:val="%3."/>
      <w:lvlJc w:val="right"/>
      <w:pPr>
        <w:ind w:left="3501" w:hanging="180"/>
      </w:pPr>
    </w:lvl>
    <w:lvl w:ilvl="3" w:tplc="0416000F" w:tentative="1">
      <w:start w:val="1"/>
      <w:numFmt w:val="decimal"/>
      <w:lvlText w:val="%4."/>
      <w:lvlJc w:val="left"/>
      <w:pPr>
        <w:ind w:left="4221" w:hanging="360"/>
      </w:pPr>
    </w:lvl>
    <w:lvl w:ilvl="4" w:tplc="04160019" w:tentative="1">
      <w:start w:val="1"/>
      <w:numFmt w:val="lowerLetter"/>
      <w:lvlText w:val="%5."/>
      <w:lvlJc w:val="left"/>
      <w:pPr>
        <w:ind w:left="4941" w:hanging="360"/>
      </w:pPr>
    </w:lvl>
    <w:lvl w:ilvl="5" w:tplc="0416001B" w:tentative="1">
      <w:start w:val="1"/>
      <w:numFmt w:val="lowerRoman"/>
      <w:lvlText w:val="%6."/>
      <w:lvlJc w:val="right"/>
      <w:pPr>
        <w:ind w:left="5661" w:hanging="180"/>
      </w:pPr>
    </w:lvl>
    <w:lvl w:ilvl="6" w:tplc="0416000F" w:tentative="1">
      <w:start w:val="1"/>
      <w:numFmt w:val="decimal"/>
      <w:lvlText w:val="%7."/>
      <w:lvlJc w:val="left"/>
      <w:pPr>
        <w:ind w:left="6381" w:hanging="360"/>
      </w:pPr>
    </w:lvl>
    <w:lvl w:ilvl="7" w:tplc="04160019" w:tentative="1">
      <w:start w:val="1"/>
      <w:numFmt w:val="lowerLetter"/>
      <w:lvlText w:val="%8."/>
      <w:lvlJc w:val="left"/>
      <w:pPr>
        <w:ind w:left="7101" w:hanging="360"/>
      </w:pPr>
    </w:lvl>
    <w:lvl w:ilvl="8" w:tplc="0416001B" w:tentative="1">
      <w:start w:val="1"/>
      <w:numFmt w:val="lowerRoman"/>
      <w:lvlText w:val="%9."/>
      <w:lvlJc w:val="right"/>
      <w:pPr>
        <w:ind w:left="7821" w:hanging="180"/>
      </w:pPr>
    </w:lvl>
  </w:abstractNum>
  <w:abstractNum w:abstractNumId="2" w15:restartNumberingAfterBreak="0">
    <w:nsid w:val="19895784"/>
    <w:multiLevelType w:val="hybridMultilevel"/>
    <w:tmpl w:val="F492352A"/>
    <w:lvl w:ilvl="0" w:tplc="FFF4EBD6">
      <w:start w:val="1"/>
      <w:numFmt w:val="decimal"/>
      <w:lvlText w:val="%1."/>
      <w:lvlJc w:val="left"/>
      <w:pPr>
        <w:ind w:left="2061" w:hanging="360"/>
      </w:pPr>
      <w:rPr>
        <w:rFonts w:hint="default"/>
      </w:rPr>
    </w:lvl>
    <w:lvl w:ilvl="1" w:tplc="04160019" w:tentative="1">
      <w:start w:val="1"/>
      <w:numFmt w:val="lowerLetter"/>
      <w:lvlText w:val="%2."/>
      <w:lvlJc w:val="left"/>
      <w:pPr>
        <w:ind w:left="2781" w:hanging="360"/>
      </w:pPr>
    </w:lvl>
    <w:lvl w:ilvl="2" w:tplc="0416001B" w:tentative="1">
      <w:start w:val="1"/>
      <w:numFmt w:val="lowerRoman"/>
      <w:lvlText w:val="%3."/>
      <w:lvlJc w:val="right"/>
      <w:pPr>
        <w:ind w:left="3501" w:hanging="180"/>
      </w:pPr>
    </w:lvl>
    <w:lvl w:ilvl="3" w:tplc="0416000F" w:tentative="1">
      <w:start w:val="1"/>
      <w:numFmt w:val="decimal"/>
      <w:lvlText w:val="%4."/>
      <w:lvlJc w:val="left"/>
      <w:pPr>
        <w:ind w:left="4221" w:hanging="360"/>
      </w:pPr>
    </w:lvl>
    <w:lvl w:ilvl="4" w:tplc="04160019" w:tentative="1">
      <w:start w:val="1"/>
      <w:numFmt w:val="lowerLetter"/>
      <w:lvlText w:val="%5."/>
      <w:lvlJc w:val="left"/>
      <w:pPr>
        <w:ind w:left="4941" w:hanging="360"/>
      </w:pPr>
    </w:lvl>
    <w:lvl w:ilvl="5" w:tplc="0416001B" w:tentative="1">
      <w:start w:val="1"/>
      <w:numFmt w:val="lowerRoman"/>
      <w:lvlText w:val="%6."/>
      <w:lvlJc w:val="right"/>
      <w:pPr>
        <w:ind w:left="5661" w:hanging="180"/>
      </w:pPr>
    </w:lvl>
    <w:lvl w:ilvl="6" w:tplc="0416000F" w:tentative="1">
      <w:start w:val="1"/>
      <w:numFmt w:val="decimal"/>
      <w:lvlText w:val="%7."/>
      <w:lvlJc w:val="left"/>
      <w:pPr>
        <w:ind w:left="6381" w:hanging="360"/>
      </w:pPr>
    </w:lvl>
    <w:lvl w:ilvl="7" w:tplc="04160019" w:tentative="1">
      <w:start w:val="1"/>
      <w:numFmt w:val="lowerLetter"/>
      <w:lvlText w:val="%8."/>
      <w:lvlJc w:val="left"/>
      <w:pPr>
        <w:ind w:left="7101" w:hanging="360"/>
      </w:pPr>
    </w:lvl>
    <w:lvl w:ilvl="8" w:tplc="0416001B" w:tentative="1">
      <w:start w:val="1"/>
      <w:numFmt w:val="lowerRoman"/>
      <w:lvlText w:val="%9."/>
      <w:lvlJc w:val="right"/>
      <w:pPr>
        <w:ind w:left="7821" w:hanging="180"/>
      </w:pPr>
    </w:lvl>
  </w:abstractNum>
  <w:abstractNum w:abstractNumId="3" w15:restartNumberingAfterBreak="0">
    <w:nsid w:val="20CE4657"/>
    <w:multiLevelType w:val="hybridMultilevel"/>
    <w:tmpl w:val="5BA64712"/>
    <w:lvl w:ilvl="0" w:tplc="DE7487F4">
      <w:start w:val="9"/>
      <w:numFmt w:val="decimal"/>
      <w:lvlText w:val="%1"/>
      <w:lvlJc w:val="left"/>
      <w:pPr>
        <w:ind w:left="2045" w:hanging="172"/>
      </w:pPr>
      <w:rPr>
        <w:rFonts w:ascii="Comic Sans MS" w:eastAsia="Comic Sans MS" w:hAnsi="Comic Sans MS" w:cs="Comic Sans MS" w:hint="default"/>
        <w:color w:val="231F20"/>
        <w:w w:val="100"/>
        <w:sz w:val="20"/>
        <w:szCs w:val="20"/>
        <w:lang w:val="pt-PT" w:eastAsia="en-US" w:bidi="ar-SA"/>
      </w:rPr>
    </w:lvl>
    <w:lvl w:ilvl="1" w:tplc="31A881C8">
      <w:numFmt w:val="bullet"/>
      <w:lvlText w:val="•"/>
      <w:lvlJc w:val="left"/>
      <w:pPr>
        <w:ind w:left="2755" w:hanging="172"/>
      </w:pPr>
      <w:rPr>
        <w:rFonts w:hint="default"/>
        <w:lang w:val="pt-PT" w:eastAsia="en-US" w:bidi="ar-SA"/>
      </w:rPr>
    </w:lvl>
    <w:lvl w:ilvl="2" w:tplc="6A3C14AE">
      <w:numFmt w:val="bullet"/>
      <w:lvlText w:val="•"/>
      <w:lvlJc w:val="left"/>
      <w:pPr>
        <w:ind w:left="3471" w:hanging="172"/>
      </w:pPr>
      <w:rPr>
        <w:rFonts w:hint="default"/>
        <w:lang w:val="pt-PT" w:eastAsia="en-US" w:bidi="ar-SA"/>
      </w:rPr>
    </w:lvl>
    <w:lvl w:ilvl="3" w:tplc="A1F83CEE">
      <w:numFmt w:val="bullet"/>
      <w:lvlText w:val="•"/>
      <w:lvlJc w:val="left"/>
      <w:pPr>
        <w:ind w:left="4187" w:hanging="172"/>
      </w:pPr>
      <w:rPr>
        <w:rFonts w:hint="default"/>
        <w:lang w:val="pt-PT" w:eastAsia="en-US" w:bidi="ar-SA"/>
      </w:rPr>
    </w:lvl>
    <w:lvl w:ilvl="4" w:tplc="F3B872F2">
      <w:numFmt w:val="bullet"/>
      <w:lvlText w:val="•"/>
      <w:lvlJc w:val="left"/>
      <w:pPr>
        <w:ind w:left="4902" w:hanging="172"/>
      </w:pPr>
      <w:rPr>
        <w:rFonts w:hint="default"/>
        <w:lang w:val="pt-PT" w:eastAsia="en-US" w:bidi="ar-SA"/>
      </w:rPr>
    </w:lvl>
    <w:lvl w:ilvl="5" w:tplc="1F1E38E0">
      <w:numFmt w:val="bullet"/>
      <w:lvlText w:val="•"/>
      <w:lvlJc w:val="left"/>
      <w:pPr>
        <w:ind w:left="5618" w:hanging="172"/>
      </w:pPr>
      <w:rPr>
        <w:rFonts w:hint="default"/>
        <w:lang w:val="pt-PT" w:eastAsia="en-US" w:bidi="ar-SA"/>
      </w:rPr>
    </w:lvl>
    <w:lvl w:ilvl="6" w:tplc="45BE1D18">
      <w:numFmt w:val="bullet"/>
      <w:lvlText w:val="•"/>
      <w:lvlJc w:val="left"/>
      <w:pPr>
        <w:ind w:left="6334" w:hanging="172"/>
      </w:pPr>
      <w:rPr>
        <w:rFonts w:hint="default"/>
        <w:lang w:val="pt-PT" w:eastAsia="en-US" w:bidi="ar-SA"/>
      </w:rPr>
    </w:lvl>
    <w:lvl w:ilvl="7" w:tplc="98C0683E">
      <w:numFmt w:val="bullet"/>
      <w:lvlText w:val="•"/>
      <w:lvlJc w:val="left"/>
      <w:pPr>
        <w:ind w:left="7049" w:hanging="172"/>
      </w:pPr>
      <w:rPr>
        <w:rFonts w:hint="default"/>
        <w:lang w:val="pt-PT" w:eastAsia="en-US" w:bidi="ar-SA"/>
      </w:rPr>
    </w:lvl>
    <w:lvl w:ilvl="8" w:tplc="7D58F784">
      <w:numFmt w:val="bullet"/>
      <w:lvlText w:val="•"/>
      <w:lvlJc w:val="left"/>
      <w:pPr>
        <w:ind w:left="7765" w:hanging="172"/>
      </w:pPr>
      <w:rPr>
        <w:rFonts w:hint="default"/>
        <w:lang w:val="pt-PT" w:eastAsia="en-US" w:bidi="ar-SA"/>
      </w:rPr>
    </w:lvl>
  </w:abstractNum>
  <w:abstractNum w:abstractNumId="4" w15:restartNumberingAfterBreak="0">
    <w:nsid w:val="25B30E96"/>
    <w:multiLevelType w:val="hybridMultilevel"/>
    <w:tmpl w:val="BBA2CB54"/>
    <w:lvl w:ilvl="0" w:tplc="BE00BFDA">
      <w:start w:val="1"/>
      <w:numFmt w:val="decimal"/>
      <w:lvlText w:val="%1)"/>
      <w:lvlJc w:val="left"/>
      <w:pPr>
        <w:ind w:left="2487" w:hanging="360"/>
      </w:pPr>
      <w:rPr>
        <w:rFonts w:hint="default"/>
      </w:rPr>
    </w:lvl>
    <w:lvl w:ilvl="1" w:tplc="04160019" w:tentative="1">
      <w:start w:val="1"/>
      <w:numFmt w:val="lowerLetter"/>
      <w:lvlText w:val="%2."/>
      <w:lvlJc w:val="left"/>
      <w:pPr>
        <w:ind w:left="3207" w:hanging="360"/>
      </w:pPr>
    </w:lvl>
    <w:lvl w:ilvl="2" w:tplc="0416001B" w:tentative="1">
      <w:start w:val="1"/>
      <w:numFmt w:val="lowerRoman"/>
      <w:lvlText w:val="%3."/>
      <w:lvlJc w:val="right"/>
      <w:pPr>
        <w:ind w:left="3927" w:hanging="180"/>
      </w:pPr>
    </w:lvl>
    <w:lvl w:ilvl="3" w:tplc="0416000F" w:tentative="1">
      <w:start w:val="1"/>
      <w:numFmt w:val="decimal"/>
      <w:lvlText w:val="%4."/>
      <w:lvlJc w:val="left"/>
      <w:pPr>
        <w:ind w:left="4647" w:hanging="360"/>
      </w:pPr>
    </w:lvl>
    <w:lvl w:ilvl="4" w:tplc="04160019" w:tentative="1">
      <w:start w:val="1"/>
      <w:numFmt w:val="lowerLetter"/>
      <w:lvlText w:val="%5."/>
      <w:lvlJc w:val="left"/>
      <w:pPr>
        <w:ind w:left="5367" w:hanging="360"/>
      </w:pPr>
    </w:lvl>
    <w:lvl w:ilvl="5" w:tplc="0416001B" w:tentative="1">
      <w:start w:val="1"/>
      <w:numFmt w:val="lowerRoman"/>
      <w:lvlText w:val="%6."/>
      <w:lvlJc w:val="right"/>
      <w:pPr>
        <w:ind w:left="6087" w:hanging="180"/>
      </w:pPr>
    </w:lvl>
    <w:lvl w:ilvl="6" w:tplc="0416000F" w:tentative="1">
      <w:start w:val="1"/>
      <w:numFmt w:val="decimal"/>
      <w:lvlText w:val="%7."/>
      <w:lvlJc w:val="left"/>
      <w:pPr>
        <w:ind w:left="6807" w:hanging="360"/>
      </w:pPr>
    </w:lvl>
    <w:lvl w:ilvl="7" w:tplc="04160019" w:tentative="1">
      <w:start w:val="1"/>
      <w:numFmt w:val="lowerLetter"/>
      <w:lvlText w:val="%8."/>
      <w:lvlJc w:val="left"/>
      <w:pPr>
        <w:ind w:left="7527" w:hanging="360"/>
      </w:pPr>
    </w:lvl>
    <w:lvl w:ilvl="8" w:tplc="0416001B" w:tentative="1">
      <w:start w:val="1"/>
      <w:numFmt w:val="lowerRoman"/>
      <w:lvlText w:val="%9."/>
      <w:lvlJc w:val="right"/>
      <w:pPr>
        <w:ind w:left="8247" w:hanging="180"/>
      </w:pPr>
    </w:lvl>
  </w:abstractNum>
  <w:abstractNum w:abstractNumId="5" w15:restartNumberingAfterBreak="0">
    <w:nsid w:val="2AFF37C0"/>
    <w:multiLevelType w:val="multilevel"/>
    <w:tmpl w:val="DB76D71C"/>
    <w:lvl w:ilvl="0">
      <w:start w:val="3"/>
      <w:numFmt w:val="decimal"/>
      <w:lvlText w:val="%1."/>
      <w:lvlJc w:val="left"/>
      <w:pPr>
        <w:ind w:left="360" w:hanging="360"/>
      </w:pPr>
      <w:rPr>
        <w:rFonts w:hint="default"/>
      </w:rPr>
    </w:lvl>
    <w:lvl w:ilvl="1">
      <w:start w:val="5"/>
      <w:numFmt w:val="decimal"/>
      <w:lvlText w:val="%1.%2)"/>
      <w:lvlJc w:val="left"/>
      <w:pPr>
        <w:ind w:left="2422" w:hanging="720"/>
      </w:pPr>
      <w:rPr>
        <w:rFonts w:hint="default"/>
      </w:rPr>
    </w:lvl>
    <w:lvl w:ilvl="2">
      <w:start w:val="1"/>
      <w:numFmt w:val="decimal"/>
      <w:lvlText w:val="%1.%2)%3."/>
      <w:lvlJc w:val="left"/>
      <w:pPr>
        <w:ind w:left="4244" w:hanging="720"/>
      </w:pPr>
      <w:rPr>
        <w:rFonts w:hint="default"/>
      </w:rPr>
    </w:lvl>
    <w:lvl w:ilvl="3">
      <w:start w:val="1"/>
      <w:numFmt w:val="decimal"/>
      <w:lvlText w:val="%1.%2)%3.%4."/>
      <w:lvlJc w:val="left"/>
      <w:pPr>
        <w:ind w:left="6366" w:hanging="1080"/>
      </w:pPr>
      <w:rPr>
        <w:rFonts w:hint="default"/>
      </w:rPr>
    </w:lvl>
    <w:lvl w:ilvl="4">
      <w:start w:val="1"/>
      <w:numFmt w:val="decimal"/>
      <w:lvlText w:val="%1.%2)%3.%4.%5."/>
      <w:lvlJc w:val="left"/>
      <w:pPr>
        <w:ind w:left="8488" w:hanging="1440"/>
      </w:pPr>
      <w:rPr>
        <w:rFonts w:hint="default"/>
      </w:rPr>
    </w:lvl>
    <w:lvl w:ilvl="5">
      <w:start w:val="1"/>
      <w:numFmt w:val="decimal"/>
      <w:lvlText w:val="%1.%2)%3.%4.%5.%6."/>
      <w:lvlJc w:val="left"/>
      <w:pPr>
        <w:ind w:left="10250" w:hanging="1440"/>
      </w:pPr>
      <w:rPr>
        <w:rFonts w:hint="default"/>
      </w:rPr>
    </w:lvl>
    <w:lvl w:ilvl="6">
      <w:start w:val="1"/>
      <w:numFmt w:val="decimal"/>
      <w:lvlText w:val="%1.%2)%3.%4.%5.%6.%7."/>
      <w:lvlJc w:val="left"/>
      <w:pPr>
        <w:ind w:left="12372" w:hanging="1800"/>
      </w:pPr>
      <w:rPr>
        <w:rFonts w:hint="default"/>
      </w:rPr>
    </w:lvl>
    <w:lvl w:ilvl="7">
      <w:start w:val="1"/>
      <w:numFmt w:val="decimal"/>
      <w:lvlText w:val="%1.%2)%3.%4.%5.%6.%7.%8."/>
      <w:lvlJc w:val="left"/>
      <w:pPr>
        <w:ind w:left="14134" w:hanging="1800"/>
      </w:pPr>
      <w:rPr>
        <w:rFonts w:hint="default"/>
      </w:rPr>
    </w:lvl>
    <w:lvl w:ilvl="8">
      <w:start w:val="1"/>
      <w:numFmt w:val="decimal"/>
      <w:lvlText w:val="%1.%2)%3.%4.%5.%6.%7.%8.%9."/>
      <w:lvlJc w:val="left"/>
      <w:pPr>
        <w:ind w:left="16256" w:hanging="2160"/>
      </w:pPr>
      <w:rPr>
        <w:rFonts w:hint="default"/>
      </w:rPr>
    </w:lvl>
  </w:abstractNum>
  <w:abstractNum w:abstractNumId="6" w15:restartNumberingAfterBreak="0">
    <w:nsid w:val="2E3B5171"/>
    <w:multiLevelType w:val="multilevel"/>
    <w:tmpl w:val="A074EF66"/>
    <w:lvl w:ilvl="0">
      <w:start w:val="1"/>
      <w:numFmt w:val="decimal"/>
      <w:lvlText w:val="%1."/>
      <w:lvlJc w:val="left"/>
      <w:pPr>
        <w:ind w:left="3762" w:hanging="360"/>
      </w:pPr>
      <w:rPr>
        <w:rFonts w:hint="default"/>
      </w:rPr>
    </w:lvl>
    <w:lvl w:ilvl="1">
      <w:start w:val="2"/>
      <w:numFmt w:val="decimal"/>
      <w:isLgl/>
      <w:lvlText w:val="%1.%2."/>
      <w:lvlJc w:val="left"/>
      <w:pPr>
        <w:ind w:left="4482" w:hanging="720"/>
      </w:pPr>
      <w:rPr>
        <w:rFonts w:hint="default"/>
      </w:rPr>
    </w:lvl>
    <w:lvl w:ilvl="2">
      <w:start w:val="1"/>
      <w:numFmt w:val="decimal"/>
      <w:isLgl/>
      <w:lvlText w:val="%1.%2.%3."/>
      <w:lvlJc w:val="left"/>
      <w:pPr>
        <w:ind w:left="4842" w:hanging="720"/>
      </w:pPr>
      <w:rPr>
        <w:rFonts w:hint="default"/>
      </w:rPr>
    </w:lvl>
    <w:lvl w:ilvl="3">
      <w:start w:val="1"/>
      <w:numFmt w:val="decimal"/>
      <w:isLgl/>
      <w:lvlText w:val="%1.%2.%3.%4."/>
      <w:lvlJc w:val="left"/>
      <w:pPr>
        <w:ind w:left="5562" w:hanging="1080"/>
      </w:pPr>
      <w:rPr>
        <w:rFonts w:hint="default"/>
      </w:rPr>
    </w:lvl>
    <w:lvl w:ilvl="4">
      <w:start w:val="1"/>
      <w:numFmt w:val="decimal"/>
      <w:isLgl/>
      <w:lvlText w:val="%1.%2.%3.%4.%5."/>
      <w:lvlJc w:val="left"/>
      <w:pPr>
        <w:ind w:left="5922" w:hanging="1080"/>
      </w:pPr>
      <w:rPr>
        <w:rFonts w:hint="default"/>
      </w:rPr>
    </w:lvl>
    <w:lvl w:ilvl="5">
      <w:start w:val="1"/>
      <w:numFmt w:val="decimal"/>
      <w:isLgl/>
      <w:lvlText w:val="%1.%2.%3.%4.%5.%6."/>
      <w:lvlJc w:val="left"/>
      <w:pPr>
        <w:ind w:left="6642" w:hanging="1440"/>
      </w:pPr>
      <w:rPr>
        <w:rFonts w:hint="default"/>
      </w:rPr>
    </w:lvl>
    <w:lvl w:ilvl="6">
      <w:start w:val="1"/>
      <w:numFmt w:val="decimal"/>
      <w:isLgl/>
      <w:lvlText w:val="%1.%2.%3.%4.%5.%6.%7."/>
      <w:lvlJc w:val="left"/>
      <w:pPr>
        <w:ind w:left="7002" w:hanging="1440"/>
      </w:pPr>
      <w:rPr>
        <w:rFonts w:hint="default"/>
      </w:rPr>
    </w:lvl>
    <w:lvl w:ilvl="7">
      <w:start w:val="1"/>
      <w:numFmt w:val="decimal"/>
      <w:isLgl/>
      <w:lvlText w:val="%1.%2.%3.%4.%5.%6.%7.%8."/>
      <w:lvlJc w:val="left"/>
      <w:pPr>
        <w:ind w:left="7722" w:hanging="1800"/>
      </w:pPr>
      <w:rPr>
        <w:rFonts w:hint="default"/>
      </w:rPr>
    </w:lvl>
    <w:lvl w:ilvl="8">
      <w:start w:val="1"/>
      <w:numFmt w:val="decimal"/>
      <w:isLgl/>
      <w:lvlText w:val="%1.%2.%3.%4.%5.%6.%7.%8.%9."/>
      <w:lvlJc w:val="left"/>
      <w:pPr>
        <w:ind w:left="8442" w:hanging="2160"/>
      </w:pPr>
      <w:rPr>
        <w:rFonts w:hint="default"/>
      </w:rPr>
    </w:lvl>
  </w:abstractNum>
  <w:abstractNum w:abstractNumId="7" w15:restartNumberingAfterBreak="0">
    <w:nsid w:val="4E4D36B1"/>
    <w:multiLevelType w:val="hybridMultilevel"/>
    <w:tmpl w:val="9F948A3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4E5F4702"/>
    <w:multiLevelType w:val="hybridMultilevel"/>
    <w:tmpl w:val="A216D83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52F70D50"/>
    <w:multiLevelType w:val="hybridMultilevel"/>
    <w:tmpl w:val="F2E84882"/>
    <w:lvl w:ilvl="0" w:tplc="58C88470">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59363EE9"/>
    <w:multiLevelType w:val="hybridMultilevel"/>
    <w:tmpl w:val="C44625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612E7FCD"/>
    <w:multiLevelType w:val="hybridMultilevel"/>
    <w:tmpl w:val="693CBE68"/>
    <w:lvl w:ilvl="0" w:tplc="0416000F">
      <w:start w:val="1"/>
      <w:numFmt w:val="decimal"/>
      <w:lvlText w:val="%1."/>
      <w:lvlJc w:val="left"/>
      <w:pPr>
        <w:ind w:left="1428" w:hanging="360"/>
      </w:pPr>
      <w:rPr>
        <w:rFonts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2" w15:restartNumberingAfterBreak="0">
    <w:nsid w:val="6EA4614B"/>
    <w:multiLevelType w:val="hybridMultilevel"/>
    <w:tmpl w:val="7C68034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7A804AE3"/>
    <w:multiLevelType w:val="hybridMultilevel"/>
    <w:tmpl w:val="FFE23A0A"/>
    <w:lvl w:ilvl="0" w:tplc="0CFC6278">
      <w:start w:val="1"/>
      <w:numFmt w:val="decimal"/>
      <w:lvlText w:val="%1."/>
      <w:lvlJc w:val="left"/>
      <w:pPr>
        <w:ind w:left="2061" w:hanging="360"/>
      </w:pPr>
      <w:rPr>
        <w:rFonts w:hint="default"/>
        <w:b/>
      </w:rPr>
    </w:lvl>
    <w:lvl w:ilvl="1" w:tplc="04160019" w:tentative="1">
      <w:start w:val="1"/>
      <w:numFmt w:val="lowerLetter"/>
      <w:lvlText w:val="%2."/>
      <w:lvlJc w:val="left"/>
      <w:pPr>
        <w:ind w:left="2781" w:hanging="360"/>
      </w:pPr>
    </w:lvl>
    <w:lvl w:ilvl="2" w:tplc="0416001B" w:tentative="1">
      <w:start w:val="1"/>
      <w:numFmt w:val="lowerRoman"/>
      <w:lvlText w:val="%3."/>
      <w:lvlJc w:val="right"/>
      <w:pPr>
        <w:ind w:left="3501" w:hanging="180"/>
      </w:pPr>
    </w:lvl>
    <w:lvl w:ilvl="3" w:tplc="0416000F" w:tentative="1">
      <w:start w:val="1"/>
      <w:numFmt w:val="decimal"/>
      <w:lvlText w:val="%4."/>
      <w:lvlJc w:val="left"/>
      <w:pPr>
        <w:ind w:left="4221" w:hanging="360"/>
      </w:pPr>
    </w:lvl>
    <w:lvl w:ilvl="4" w:tplc="04160019" w:tentative="1">
      <w:start w:val="1"/>
      <w:numFmt w:val="lowerLetter"/>
      <w:lvlText w:val="%5."/>
      <w:lvlJc w:val="left"/>
      <w:pPr>
        <w:ind w:left="4941" w:hanging="360"/>
      </w:pPr>
    </w:lvl>
    <w:lvl w:ilvl="5" w:tplc="0416001B" w:tentative="1">
      <w:start w:val="1"/>
      <w:numFmt w:val="lowerRoman"/>
      <w:lvlText w:val="%6."/>
      <w:lvlJc w:val="right"/>
      <w:pPr>
        <w:ind w:left="5661" w:hanging="180"/>
      </w:pPr>
    </w:lvl>
    <w:lvl w:ilvl="6" w:tplc="0416000F" w:tentative="1">
      <w:start w:val="1"/>
      <w:numFmt w:val="decimal"/>
      <w:lvlText w:val="%7."/>
      <w:lvlJc w:val="left"/>
      <w:pPr>
        <w:ind w:left="6381" w:hanging="360"/>
      </w:pPr>
    </w:lvl>
    <w:lvl w:ilvl="7" w:tplc="04160019" w:tentative="1">
      <w:start w:val="1"/>
      <w:numFmt w:val="lowerLetter"/>
      <w:lvlText w:val="%8."/>
      <w:lvlJc w:val="left"/>
      <w:pPr>
        <w:ind w:left="7101" w:hanging="360"/>
      </w:pPr>
    </w:lvl>
    <w:lvl w:ilvl="8" w:tplc="0416001B" w:tentative="1">
      <w:start w:val="1"/>
      <w:numFmt w:val="lowerRoman"/>
      <w:lvlText w:val="%9."/>
      <w:lvlJc w:val="right"/>
      <w:pPr>
        <w:ind w:left="7821" w:hanging="180"/>
      </w:pPr>
    </w:lvl>
  </w:abstractNum>
  <w:num w:numId="1" w16cid:durableId="1803957236">
    <w:abstractNumId w:val="9"/>
  </w:num>
  <w:num w:numId="2" w16cid:durableId="1315908972">
    <w:abstractNumId w:val="2"/>
  </w:num>
  <w:num w:numId="3" w16cid:durableId="2021883326">
    <w:abstractNumId w:val="13"/>
  </w:num>
  <w:num w:numId="4" w16cid:durableId="1118987902">
    <w:abstractNumId w:val="1"/>
  </w:num>
  <w:num w:numId="5" w16cid:durableId="511993307">
    <w:abstractNumId w:val="6"/>
  </w:num>
  <w:num w:numId="6" w16cid:durableId="1417481350">
    <w:abstractNumId w:val="0"/>
  </w:num>
  <w:num w:numId="7" w16cid:durableId="422072194">
    <w:abstractNumId w:val="11"/>
  </w:num>
  <w:num w:numId="8" w16cid:durableId="1607495398">
    <w:abstractNumId w:val="5"/>
  </w:num>
  <w:num w:numId="9" w16cid:durableId="1664426637">
    <w:abstractNumId w:val="3"/>
  </w:num>
  <w:num w:numId="10" w16cid:durableId="1240940462">
    <w:abstractNumId w:val="4"/>
  </w:num>
  <w:num w:numId="11" w16cid:durableId="24143741">
    <w:abstractNumId w:val="12"/>
  </w:num>
  <w:num w:numId="12" w16cid:durableId="1270702315">
    <w:abstractNumId w:val="10"/>
  </w:num>
  <w:num w:numId="13" w16cid:durableId="222912139">
    <w:abstractNumId w:val="8"/>
  </w:num>
  <w:num w:numId="14" w16cid:durableId="156594810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6D7"/>
    <w:rsid w:val="0000133D"/>
    <w:rsid w:val="00013E3D"/>
    <w:rsid w:val="00024266"/>
    <w:rsid w:val="000243C7"/>
    <w:rsid w:val="00034928"/>
    <w:rsid w:val="00035DF8"/>
    <w:rsid w:val="000444F0"/>
    <w:rsid w:val="00057CD2"/>
    <w:rsid w:val="00080758"/>
    <w:rsid w:val="00085433"/>
    <w:rsid w:val="000875A2"/>
    <w:rsid w:val="0008761F"/>
    <w:rsid w:val="00091E9F"/>
    <w:rsid w:val="0009416F"/>
    <w:rsid w:val="00097761"/>
    <w:rsid w:val="000B59FB"/>
    <w:rsid w:val="000C7A70"/>
    <w:rsid w:val="000D3964"/>
    <w:rsid w:val="000E24E4"/>
    <w:rsid w:val="000E43EA"/>
    <w:rsid w:val="00134127"/>
    <w:rsid w:val="00147E52"/>
    <w:rsid w:val="00152B89"/>
    <w:rsid w:val="001648BF"/>
    <w:rsid w:val="00167814"/>
    <w:rsid w:val="00193979"/>
    <w:rsid w:val="001A2DD7"/>
    <w:rsid w:val="001A5D4A"/>
    <w:rsid w:val="001B595F"/>
    <w:rsid w:val="001D413A"/>
    <w:rsid w:val="001D5258"/>
    <w:rsid w:val="001E5D15"/>
    <w:rsid w:val="00210ECD"/>
    <w:rsid w:val="002259F0"/>
    <w:rsid w:val="00231C56"/>
    <w:rsid w:val="0024124A"/>
    <w:rsid w:val="00253F6F"/>
    <w:rsid w:val="0025605E"/>
    <w:rsid w:val="00261741"/>
    <w:rsid w:val="00264925"/>
    <w:rsid w:val="00294279"/>
    <w:rsid w:val="002960B1"/>
    <w:rsid w:val="002A52FA"/>
    <w:rsid w:val="002B6503"/>
    <w:rsid w:val="002C1E96"/>
    <w:rsid w:val="002D23A2"/>
    <w:rsid w:val="002D5BCA"/>
    <w:rsid w:val="002E1D61"/>
    <w:rsid w:val="002E6B68"/>
    <w:rsid w:val="002F4E14"/>
    <w:rsid w:val="002F5084"/>
    <w:rsid w:val="002F7300"/>
    <w:rsid w:val="003003F6"/>
    <w:rsid w:val="003045E3"/>
    <w:rsid w:val="00316A52"/>
    <w:rsid w:val="00316E5E"/>
    <w:rsid w:val="00335ED6"/>
    <w:rsid w:val="0035145A"/>
    <w:rsid w:val="00353237"/>
    <w:rsid w:val="00372DFC"/>
    <w:rsid w:val="00391664"/>
    <w:rsid w:val="003A4792"/>
    <w:rsid w:val="003A7CF6"/>
    <w:rsid w:val="003B1896"/>
    <w:rsid w:val="003C54A5"/>
    <w:rsid w:val="003C586B"/>
    <w:rsid w:val="003D0E26"/>
    <w:rsid w:val="003D6CBC"/>
    <w:rsid w:val="003E1012"/>
    <w:rsid w:val="003E1109"/>
    <w:rsid w:val="003E63F4"/>
    <w:rsid w:val="003F4998"/>
    <w:rsid w:val="00404F7F"/>
    <w:rsid w:val="004102F4"/>
    <w:rsid w:val="00414A00"/>
    <w:rsid w:val="0042635E"/>
    <w:rsid w:val="00453DBD"/>
    <w:rsid w:val="0045412E"/>
    <w:rsid w:val="0046364D"/>
    <w:rsid w:val="0047545E"/>
    <w:rsid w:val="0047677E"/>
    <w:rsid w:val="004836EE"/>
    <w:rsid w:val="00487036"/>
    <w:rsid w:val="004B3BDA"/>
    <w:rsid w:val="004D0B64"/>
    <w:rsid w:val="004D4703"/>
    <w:rsid w:val="004D6C08"/>
    <w:rsid w:val="004D7DE7"/>
    <w:rsid w:val="004E1943"/>
    <w:rsid w:val="004E3906"/>
    <w:rsid w:val="0052341B"/>
    <w:rsid w:val="0053230D"/>
    <w:rsid w:val="00534C0F"/>
    <w:rsid w:val="00540701"/>
    <w:rsid w:val="0054256E"/>
    <w:rsid w:val="00544892"/>
    <w:rsid w:val="0054539F"/>
    <w:rsid w:val="0055639D"/>
    <w:rsid w:val="00566659"/>
    <w:rsid w:val="00567574"/>
    <w:rsid w:val="00590D5D"/>
    <w:rsid w:val="005A1F4A"/>
    <w:rsid w:val="005A34EA"/>
    <w:rsid w:val="005B216B"/>
    <w:rsid w:val="005C1A28"/>
    <w:rsid w:val="005C5DE0"/>
    <w:rsid w:val="005D7A3C"/>
    <w:rsid w:val="005E614B"/>
    <w:rsid w:val="005E68F0"/>
    <w:rsid w:val="005F05E7"/>
    <w:rsid w:val="005F37F6"/>
    <w:rsid w:val="005F6556"/>
    <w:rsid w:val="00601D15"/>
    <w:rsid w:val="00605CE1"/>
    <w:rsid w:val="006061F3"/>
    <w:rsid w:val="00606893"/>
    <w:rsid w:val="0062076B"/>
    <w:rsid w:val="00621037"/>
    <w:rsid w:val="00635A3E"/>
    <w:rsid w:val="00663CAF"/>
    <w:rsid w:val="0067414A"/>
    <w:rsid w:val="006A031D"/>
    <w:rsid w:val="006A1A7D"/>
    <w:rsid w:val="006A203F"/>
    <w:rsid w:val="006A245C"/>
    <w:rsid w:val="006A4822"/>
    <w:rsid w:val="00713DC7"/>
    <w:rsid w:val="007221F6"/>
    <w:rsid w:val="0072263B"/>
    <w:rsid w:val="0072740D"/>
    <w:rsid w:val="00732DBE"/>
    <w:rsid w:val="0073321F"/>
    <w:rsid w:val="00772DDF"/>
    <w:rsid w:val="00782657"/>
    <w:rsid w:val="00786A3C"/>
    <w:rsid w:val="007A694C"/>
    <w:rsid w:val="007B6727"/>
    <w:rsid w:val="007C7709"/>
    <w:rsid w:val="007D36F4"/>
    <w:rsid w:val="007E6FAA"/>
    <w:rsid w:val="007F1E2B"/>
    <w:rsid w:val="007F283C"/>
    <w:rsid w:val="007F4E79"/>
    <w:rsid w:val="00805796"/>
    <w:rsid w:val="008071D7"/>
    <w:rsid w:val="00807878"/>
    <w:rsid w:val="00826FA5"/>
    <w:rsid w:val="00832C0E"/>
    <w:rsid w:val="00836495"/>
    <w:rsid w:val="00843451"/>
    <w:rsid w:val="00862013"/>
    <w:rsid w:val="00870ACA"/>
    <w:rsid w:val="00876AE0"/>
    <w:rsid w:val="008916F8"/>
    <w:rsid w:val="0089262D"/>
    <w:rsid w:val="00893343"/>
    <w:rsid w:val="008C05C4"/>
    <w:rsid w:val="008C07CB"/>
    <w:rsid w:val="008D6BF7"/>
    <w:rsid w:val="008E1115"/>
    <w:rsid w:val="008F057D"/>
    <w:rsid w:val="00903210"/>
    <w:rsid w:val="0090561A"/>
    <w:rsid w:val="00915313"/>
    <w:rsid w:val="00916F55"/>
    <w:rsid w:val="00920017"/>
    <w:rsid w:val="009310BE"/>
    <w:rsid w:val="00962896"/>
    <w:rsid w:val="00973D64"/>
    <w:rsid w:val="00984481"/>
    <w:rsid w:val="0099384A"/>
    <w:rsid w:val="009E07B6"/>
    <w:rsid w:val="009E32E7"/>
    <w:rsid w:val="009F6929"/>
    <w:rsid w:val="00A04047"/>
    <w:rsid w:val="00A328DF"/>
    <w:rsid w:val="00A4477C"/>
    <w:rsid w:val="00A5709C"/>
    <w:rsid w:val="00A61E4E"/>
    <w:rsid w:val="00A64A9C"/>
    <w:rsid w:val="00A938EC"/>
    <w:rsid w:val="00AD126A"/>
    <w:rsid w:val="00AF76D7"/>
    <w:rsid w:val="00AF7E4A"/>
    <w:rsid w:val="00B05C0F"/>
    <w:rsid w:val="00B07E6D"/>
    <w:rsid w:val="00B17B7B"/>
    <w:rsid w:val="00B23777"/>
    <w:rsid w:val="00B24845"/>
    <w:rsid w:val="00B35C59"/>
    <w:rsid w:val="00B446B6"/>
    <w:rsid w:val="00B44C40"/>
    <w:rsid w:val="00B518B2"/>
    <w:rsid w:val="00B53806"/>
    <w:rsid w:val="00B6291C"/>
    <w:rsid w:val="00B91255"/>
    <w:rsid w:val="00B94FCA"/>
    <w:rsid w:val="00BA08C6"/>
    <w:rsid w:val="00BB2A4F"/>
    <w:rsid w:val="00BF2375"/>
    <w:rsid w:val="00BF7442"/>
    <w:rsid w:val="00C3648B"/>
    <w:rsid w:val="00C405C7"/>
    <w:rsid w:val="00C84300"/>
    <w:rsid w:val="00C961E1"/>
    <w:rsid w:val="00C97632"/>
    <w:rsid w:val="00CA1343"/>
    <w:rsid w:val="00CB6E3E"/>
    <w:rsid w:val="00CB747B"/>
    <w:rsid w:val="00CD2A13"/>
    <w:rsid w:val="00CE1CC5"/>
    <w:rsid w:val="00CE3FBB"/>
    <w:rsid w:val="00CE6B3D"/>
    <w:rsid w:val="00CF1E28"/>
    <w:rsid w:val="00D0170F"/>
    <w:rsid w:val="00D02A30"/>
    <w:rsid w:val="00D0341B"/>
    <w:rsid w:val="00D160E2"/>
    <w:rsid w:val="00D20E38"/>
    <w:rsid w:val="00D21C65"/>
    <w:rsid w:val="00D330A3"/>
    <w:rsid w:val="00D33569"/>
    <w:rsid w:val="00D40E15"/>
    <w:rsid w:val="00D42711"/>
    <w:rsid w:val="00D427ED"/>
    <w:rsid w:val="00D65027"/>
    <w:rsid w:val="00DB6EEF"/>
    <w:rsid w:val="00DE6FB3"/>
    <w:rsid w:val="00DF547D"/>
    <w:rsid w:val="00E03D4A"/>
    <w:rsid w:val="00E06111"/>
    <w:rsid w:val="00E07EAD"/>
    <w:rsid w:val="00E10E34"/>
    <w:rsid w:val="00E22C27"/>
    <w:rsid w:val="00E25282"/>
    <w:rsid w:val="00E30F1C"/>
    <w:rsid w:val="00E41236"/>
    <w:rsid w:val="00E754E1"/>
    <w:rsid w:val="00E84F68"/>
    <w:rsid w:val="00EA45D9"/>
    <w:rsid w:val="00EA78E0"/>
    <w:rsid w:val="00EE3898"/>
    <w:rsid w:val="00EE3F3B"/>
    <w:rsid w:val="00EF50C8"/>
    <w:rsid w:val="00F00BC5"/>
    <w:rsid w:val="00F46F5A"/>
    <w:rsid w:val="00F55835"/>
    <w:rsid w:val="00F55A13"/>
    <w:rsid w:val="00F57EF6"/>
    <w:rsid w:val="00F63540"/>
    <w:rsid w:val="00FA0495"/>
    <w:rsid w:val="00FB3545"/>
    <w:rsid w:val="00FB6891"/>
    <w:rsid w:val="00FE08EF"/>
    <w:rsid w:val="00FE177E"/>
    <w:rsid w:val="00FE5CA2"/>
    <w:rsid w:val="00FF1008"/>
    <w:rsid w:val="00FF446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F9213"/>
  <w15:docId w15:val="{5C0E5882-404A-4FE8-B557-EC0D92369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20" w:line="278" w:lineRule="auto"/>
      <w:ind w:left="10" w:hanging="10"/>
      <w:jc w:val="both"/>
    </w:pPr>
    <w:rPr>
      <w:rFonts w:ascii="Arial" w:eastAsia="Arial" w:hAnsi="Arial" w:cs="Arial"/>
      <w:color w:val="181717"/>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FE5CA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E5CA2"/>
    <w:rPr>
      <w:rFonts w:ascii="Arial" w:eastAsia="Arial" w:hAnsi="Arial" w:cs="Arial"/>
      <w:color w:val="181717"/>
      <w:sz w:val="24"/>
    </w:rPr>
  </w:style>
  <w:style w:type="paragraph" w:styleId="Rodap">
    <w:name w:val="footer"/>
    <w:basedOn w:val="Normal"/>
    <w:link w:val="RodapChar"/>
    <w:uiPriority w:val="99"/>
    <w:unhideWhenUsed/>
    <w:rsid w:val="00FE5CA2"/>
    <w:pPr>
      <w:tabs>
        <w:tab w:val="center" w:pos="4252"/>
        <w:tab w:val="right" w:pos="8504"/>
      </w:tabs>
      <w:spacing w:after="0" w:line="240" w:lineRule="auto"/>
    </w:pPr>
  </w:style>
  <w:style w:type="character" w:customStyle="1" w:styleId="RodapChar">
    <w:name w:val="Rodapé Char"/>
    <w:basedOn w:val="Fontepargpadro"/>
    <w:link w:val="Rodap"/>
    <w:uiPriority w:val="99"/>
    <w:rsid w:val="00FE5CA2"/>
    <w:rPr>
      <w:rFonts w:ascii="Arial" w:eastAsia="Arial" w:hAnsi="Arial" w:cs="Arial"/>
      <w:color w:val="181717"/>
      <w:sz w:val="24"/>
    </w:rPr>
  </w:style>
  <w:style w:type="paragraph" w:styleId="PargrafodaLista">
    <w:name w:val="List Paragraph"/>
    <w:basedOn w:val="Normal"/>
    <w:uiPriority w:val="34"/>
    <w:qFormat/>
    <w:rsid w:val="00B446B6"/>
    <w:pPr>
      <w:spacing w:after="160" w:line="256" w:lineRule="auto"/>
      <w:ind w:left="720" w:firstLine="0"/>
      <w:contextualSpacing/>
      <w:jc w:val="left"/>
    </w:pPr>
    <w:rPr>
      <w:rFonts w:eastAsiaTheme="minorHAnsi" w:cstheme="minorBidi"/>
      <w:color w:val="auto"/>
      <w:sz w:val="52"/>
      <w:lang w:eastAsia="en-US"/>
    </w:rPr>
  </w:style>
  <w:style w:type="paragraph" w:customStyle="1" w:styleId="Default">
    <w:name w:val="Default"/>
    <w:rsid w:val="00B446B6"/>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m8347048135674366869xmsonormal">
    <w:name w:val="m_8347048135674366869xmsonormal"/>
    <w:basedOn w:val="Normal"/>
    <w:rsid w:val="00713DC7"/>
    <w:pPr>
      <w:spacing w:before="100" w:beforeAutospacing="1" w:after="100" w:afterAutospacing="1" w:line="240" w:lineRule="auto"/>
      <w:ind w:left="0" w:firstLine="0"/>
      <w:jc w:val="left"/>
    </w:pPr>
    <w:rPr>
      <w:rFonts w:ascii="Times New Roman" w:eastAsia="Times New Roman" w:hAnsi="Times New Roman" w:cs="Times New Roman"/>
      <w:color w:val="auto"/>
      <w:szCs w:val="24"/>
    </w:rPr>
  </w:style>
  <w:style w:type="character" w:customStyle="1" w:styleId="fontstyle01">
    <w:name w:val="fontstyle01"/>
    <w:rsid w:val="00713DC7"/>
    <w:rPr>
      <w:rFonts w:ascii="ArialMT" w:hAnsi="ArialMT" w:hint="default"/>
      <w:b w:val="0"/>
      <w:bCs w:val="0"/>
      <w:i w:val="0"/>
      <w:iCs w:val="0"/>
      <w:color w:val="000000"/>
      <w:sz w:val="24"/>
      <w:szCs w:val="24"/>
    </w:rPr>
  </w:style>
  <w:style w:type="paragraph" w:styleId="Textodenotaderodap">
    <w:name w:val="footnote text"/>
    <w:basedOn w:val="Normal"/>
    <w:link w:val="TextodenotaderodapChar"/>
    <w:uiPriority w:val="99"/>
    <w:semiHidden/>
    <w:unhideWhenUsed/>
    <w:rsid w:val="00EE3F3B"/>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EE3F3B"/>
    <w:rPr>
      <w:rFonts w:ascii="Arial" w:eastAsia="Arial" w:hAnsi="Arial" w:cs="Arial"/>
      <w:color w:val="181717"/>
      <w:sz w:val="20"/>
      <w:szCs w:val="20"/>
    </w:rPr>
  </w:style>
  <w:style w:type="character" w:styleId="Refdenotaderodap">
    <w:name w:val="footnote reference"/>
    <w:basedOn w:val="Fontepargpadro"/>
    <w:uiPriority w:val="99"/>
    <w:semiHidden/>
    <w:unhideWhenUsed/>
    <w:rsid w:val="00EE3F3B"/>
    <w:rPr>
      <w:vertAlign w:val="superscript"/>
    </w:rPr>
  </w:style>
  <w:style w:type="table" w:styleId="Tabelacomgrade">
    <w:name w:val="Table Grid"/>
    <w:basedOn w:val="Tabelanormal"/>
    <w:uiPriority w:val="39"/>
    <w:rsid w:val="002D5B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detexto">
    <w:name w:val="Body Text"/>
    <w:basedOn w:val="Normal"/>
    <w:link w:val="CorpodetextoChar"/>
    <w:uiPriority w:val="1"/>
    <w:qFormat/>
    <w:rsid w:val="00264925"/>
    <w:pPr>
      <w:widowControl w:val="0"/>
      <w:autoSpaceDE w:val="0"/>
      <w:autoSpaceDN w:val="0"/>
      <w:spacing w:after="0" w:line="240" w:lineRule="auto"/>
      <w:ind w:left="0" w:firstLine="0"/>
      <w:jc w:val="left"/>
    </w:pPr>
    <w:rPr>
      <w:rFonts w:ascii="Comic Sans MS" w:eastAsia="Comic Sans MS" w:hAnsi="Comic Sans MS" w:cs="Comic Sans MS"/>
      <w:color w:val="auto"/>
      <w:sz w:val="20"/>
      <w:szCs w:val="20"/>
      <w:lang w:val="pt-PT" w:eastAsia="en-US"/>
    </w:rPr>
  </w:style>
  <w:style w:type="character" w:customStyle="1" w:styleId="CorpodetextoChar">
    <w:name w:val="Corpo de texto Char"/>
    <w:basedOn w:val="Fontepargpadro"/>
    <w:link w:val="Corpodetexto"/>
    <w:uiPriority w:val="1"/>
    <w:rsid w:val="00264925"/>
    <w:rPr>
      <w:rFonts w:ascii="Comic Sans MS" w:eastAsia="Comic Sans MS" w:hAnsi="Comic Sans MS" w:cs="Comic Sans MS"/>
      <w:sz w:val="20"/>
      <w:szCs w:val="20"/>
      <w:lang w:val="pt-PT" w:eastAsia="en-US"/>
    </w:rPr>
  </w:style>
  <w:style w:type="character" w:styleId="Refdecomentrio">
    <w:name w:val="annotation reference"/>
    <w:basedOn w:val="Fontepargpadro"/>
    <w:uiPriority w:val="99"/>
    <w:semiHidden/>
    <w:unhideWhenUsed/>
    <w:rsid w:val="003E1109"/>
    <w:rPr>
      <w:sz w:val="16"/>
      <w:szCs w:val="16"/>
    </w:rPr>
  </w:style>
  <w:style w:type="paragraph" w:styleId="Textodecomentrio">
    <w:name w:val="annotation text"/>
    <w:basedOn w:val="Normal"/>
    <w:link w:val="TextodecomentrioChar"/>
    <w:uiPriority w:val="99"/>
    <w:unhideWhenUsed/>
    <w:rsid w:val="003E1109"/>
    <w:pPr>
      <w:widowControl w:val="0"/>
      <w:autoSpaceDE w:val="0"/>
      <w:autoSpaceDN w:val="0"/>
      <w:spacing w:after="0" w:line="240" w:lineRule="auto"/>
      <w:ind w:left="0" w:firstLine="0"/>
      <w:jc w:val="left"/>
    </w:pPr>
    <w:rPr>
      <w:rFonts w:ascii="Comic Sans MS" w:eastAsia="Comic Sans MS" w:hAnsi="Comic Sans MS" w:cs="Comic Sans MS"/>
      <w:color w:val="auto"/>
      <w:sz w:val="20"/>
      <w:szCs w:val="20"/>
      <w:lang w:val="pt-PT" w:eastAsia="en-US"/>
    </w:rPr>
  </w:style>
  <w:style w:type="character" w:customStyle="1" w:styleId="TextodecomentrioChar">
    <w:name w:val="Texto de comentário Char"/>
    <w:basedOn w:val="Fontepargpadro"/>
    <w:link w:val="Textodecomentrio"/>
    <w:uiPriority w:val="99"/>
    <w:rsid w:val="003E1109"/>
    <w:rPr>
      <w:rFonts w:ascii="Comic Sans MS" w:eastAsia="Comic Sans MS" w:hAnsi="Comic Sans MS" w:cs="Comic Sans MS"/>
      <w:sz w:val="20"/>
      <w:szCs w:val="20"/>
      <w:lang w:val="pt-PT"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796712">
      <w:bodyDiv w:val="1"/>
      <w:marLeft w:val="0"/>
      <w:marRight w:val="0"/>
      <w:marTop w:val="0"/>
      <w:marBottom w:val="0"/>
      <w:divBdr>
        <w:top w:val="none" w:sz="0" w:space="0" w:color="auto"/>
        <w:left w:val="none" w:sz="0" w:space="0" w:color="auto"/>
        <w:bottom w:val="none" w:sz="0" w:space="0" w:color="auto"/>
        <w:right w:val="none" w:sz="0" w:space="0" w:color="auto"/>
      </w:divBdr>
    </w:div>
    <w:div w:id="282225790">
      <w:bodyDiv w:val="1"/>
      <w:marLeft w:val="0"/>
      <w:marRight w:val="0"/>
      <w:marTop w:val="0"/>
      <w:marBottom w:val="0"/>
      <w:divBdr>
        <w:top w:val="none" w:sz="0" w:space="0" w:color="auto"/>
        <w:left w:val="none" w:sz="0" w:space="0" w:color="auto"/>
        <w:bottom w:val="none" w:sz="0" w:space="0" w:color="auto"/>
        <w:right w:val="none" w:sz="0" w:space="0" w:color="auto"/>
      </w:divBdr>
    </w:div>
    <w:div w:id="386684599">
      <w:bodyDiv w:val="1"/>
      <w:marLeft w:val="0"/>
      <w:marRight w:val="0"/>
      <w:marTop w:val="0"/>
      <w:marBottom w:val="0"/>
      <w:divBdr>
        <w:top w:val="none" w:sz="0" w:space="0" w:color="auto"/>
        <w:left w:val="none" w:sz="0" w:space="0" w:color="auto"/>
        <w:bottom w:val="none" w:sz="0" w:space="0" w:color="auto"/>
        <w:right w:val="none" w:sz="0" w:space="0" w:color="auto"/>
      </w:divBdr>
    </w:div>
    <w:div w:id="557859285">
      <w:bodyDiv w:val="1"/>
      <w:marLeft w:val="0"/>
      <w:marRight w:val="0"/>
      <w:marTop w:val="0"/>
      <w:marBottom w:val="0"/>
      <w:divBdr>
        <w:top w:val="none" w:sz="0" w:space="0" w:color="auto"/>
        <w:left w:val="none" w:sz="0" w:space="0" w:color="auto"/>
        <w:bottom w:val="none" w:sz="0" w:space="0" w:color="auto"/>
        <w:right w:val="none" w:sz="0" w:space="0" w:color="auto"/>
      </w:divBdr>
    </w:div>
    <w:div w:id="614482121">
      <w:bodyDiv w:val="1"/>
      <w:marLeft w:val="0"/>
      <w:marRight w:val="0"/>
      <w:marTop w:val="0"/>
      <w:marBottom w:val="0"/>
      <w:divBdr>
        <w:top w:val="none" w:sz="0" w:space="0" w:color="auto"/>
        <w:left w:val="none" w:sz="0" w:space="0" w:color="auto"/>
        <w:bottom w:val="none" w:sz="0" w:space="0" w:color="auto"/>
        <w:right w:val="none" w:sz="0" w:space="0" w:color="auto"/>
      </w:divBdr>
    </w:div>
    <w:div w:id="833491559">
      <w:bodyDiv w:val="1"/>
      <w:marLeft w:val="0"/>
      <w:marRight w:val="0"/>
      <w:marTop w:val="0"/>
      <w:marBottom w:val="0"/>
      <w:divBdr>
        <w:top w:val="none" w:sz="0" w:space="0" w:color="auto"/>
        <w:left w:val="none" w:sz="0" w:space="0" w:color="auto"/>
        <w:bottom w:val="none" w:sz="0" w:space="0" w:color="auto"/>
        <w:right w:val="none" w:sz="0" w:space="0" w:color="auto"/>
      </w:divBdr>
    </w:div>
    <w:div w:id="1065879619">
      <w:bodyDiv w:val="1"/>
      <w:marLeft w:val="0"/>
      <w:marRight w:val="0"/>
      <w:marTop w:val="0"/>
      <w:marBottom w:val="0"/>
      <w:divBdr>
        <w:top w:val="none" w:sz="0" w:space="0" w:color="auto"/>
        <w:left w:val="none" w:sz="0" w:space="0" w:color="auto"/>
        <w:bottom w:val="none" w:sz="0" w:space="0" w:color="auto"/>
        <w:right w:val="none" w:sz="0" w:space="0" w:color="auto"/>
      </w:divBdr>
    </w:div>
    <w:div w:id="18254643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5</Pages>
  <Words>945</Words>
  <Characters>5109</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Papel timbrado SSVP BRASIL</vt:lpstr>
    </vt:vector>
  </TitlesOfParts>
  <Company/>
  <LinksUpToDate>false</LinksUpToDate>
  <CharactersWithSpaces>6042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Papel timbrado SSVP BRASIL</dc:title>
  <dc:subject/>
  <dc:creator>Usuário</dc:creator>
  <cp:keywords/>
  <cp:lastModifiedBy>Ivaldo de Moura Evangelista</cp:lastModifiedBy>
  <cp:revision>7</cp:revision>
  <dcterms:created xsi:type="dcterms:W3CDTF">2023-12-17T15:53:00Z</dcterms:created>
  <dcterms:modified xsi:type="dcterms:W3CDTF">2023-12-17T21:22:00Z</dcterms:modified>
</cp:coreProperties>
</file>